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5EB4" w14:textId="0244885A" w:rsidR="00C41B1D" w:rsidRPr="00200404" w:rsidRDefault="00C41B1D" w:rsidP="00C41B1D">
      <w:pPr>
        <w:spacing w:line="0" w:lineRule="atLeast"/>
        <w:rPr>
          <w:rFonts w:ascii="Meiryo UI" w:eastAsia="Meiryo UI" w:hAnsi="Meiryo UI"/>
          <w:b/>
          <w:bCs/>
          <w:sz w:val="28"/>
          <w:szCs w:val="28"/>
        </w:rPr>
      </w:pPr>
      <w:r w:rsidRPr="00200404">
        <w:rPr>
          <w:rFonts w:ascii="Meiryo UI" w:eastAsia="Meiryo UI" w:hAnsi="Meiryo UI" w:hint="eastAsia"/>
          <w:b/>
          <w:bCs/>
          <w:sz w:val="28"/>
          <w:szCs w:val="28"/>
        </w:rPr>
        <w:t xml:space="preserve">生活習慣病管理料（Ⅰ）　</w:t>
      </w:r>
      <w:r w:rsidR="00200404" w:rsidRPr="00200404">
        <w:rPr>
          <w:rFonts w:ascii="Meiryo UI" w:eastAsia="Meiryo UI" w:hAnsi="Meiryo UI" w:hint="eastAsia"/>
          <w:color w:val="333333"/>
          <w:sz w:val="21"/>
          <w:szCs w:val="21"/>
          <w:shd w:val="clear" w:color="auto" w:fill="FFFFFF"/>
        </w:rPr>
        <w:t>月に</w:t>
      </w:r>
      <w:r w:rsidR="00200404" w:rsidRPr="00200404">
        <w:rPr>
          <w:rFonts w:ascii="Meiryo UI" w:eastAsia="Meiryo UI" w:hAnsi="Meiryo UI"/>
          <w:color w:val="333333"/>
          <w:sz w:val="21"/>
          <w:szCs w:val="21"/>
          <w:shd w:val="clear" w:color="auto" w:fill="FFFFFF"/>
        </w:rPr>
        <w:t>1回に限り算定</w:t>
      </w:r>
    </w:p>
    <w:p w14:paraId="5D79F854" w14:textId="77777777" w:rsidR="00C41B1D" w:rsidRPr="00200404" w:rsidRDefault="00C41B1D" w:rsidP="00C41B1D">
      <w:pPr>
        <w:pStyle w:val="a9"/>
        <w:spacing w:line="0" w:lineRule="atLeast"/>
        <w:ind w:left="440"/>
        <w:rPr>
          <w:rFonts w:ascii="Meiryo UI" w:eastAsia="Meiryo UI" w:hAnsi="Meiryo UI"/>
          <w:sz w:val="21"/>
          <w:szCs w:val="21"/>
        </w:rPr>
      </w:pPr>
      <w:r w:rsidRPr="00200404">
        <w:rPr>
          <w:rFonts w:ascii="Meiryo UI" w:eastAsia="Meiryo UI" w:hAnsi="Meiryo UI" w:hint="eastAsia"/>
          <w:sz w:val="21"/>
          <w:szCs w:val="21"/>
        </w:rPr>
        <w:t xml:space="preserve">１　脂質異常症を主病とする場合　　</w:t>
      </w:r>
      <w:r w:rsidRPr="00200404">
        <w:rPr>
          <w:rFonts w:ascii="Meiryo UI" w:eastAsia="Meiryo UI" w:hAnsi="Meiryo UI"/>
          <w:sz w:val="21"/>
          <w:szCs w:val="21"/>
        </w:rPr>
        <w:t>610点</w:t>
      </w:r>
    </w:p>
    <w:p w14:paraId="2B389FA9" w14:textId="77777777" w:rsidR="00C41B1D" w:rsidRPr="00200404" w:rsidRDefault="00C41B1D" w:rsidP="00C41B1D">
      <w:pPr>
        <w:pStyle w:val="a9"/>
        <w:spacing w:line="0" w:lineRule="atLeast"/>
        <w:ind w:left="440"/>
        <w:rPr>
          <w:rFonts w:ascii="Meiryo UI" w:eastAsia="Meiryo UI" w:hAnsi="Meiryo UI"/>
          <w:sz w:val="21"/>
          <w:szCs w:val="21"/>
        </w:rPr>
      </w:pPr>
      <w:r w:rsidRPr="00200404">
        <w:rPr>
          <w:rFonts w:ascii="Meiryo UI" w:eastAsia="Meiryo UI" w:hAnsi="Meiryo UI" w:hint="eastAsia"/>
          <w:sz w:val="21"/>
          <w:szCs w:val="21"/>
        </w:rPr>
        <w:t xml:space="preserve">２　高血圧症を主病とする場合　　　</w:t>
      </w:r>
      <w:r w:rsidRPr="00200404">
        <w:rPr>
          <w:rFonts w:ascii="Meiryo UI" w:eastAsia="Meiryo UI" w:hAnsi="Meiryo UI"/>
          <w:sz w:val="21"/>
          <w:szCs w:val="21"/>
        </w:rPr>
        <w:t>660点</w:t>
      </w:r>
    </w:p>
    <w:p w14:paraId="70EB8F36" w14:textId="3651D483" w:rsidR="00C41B1D" w:rsidRPr="00200404" w:rsidRDefault="00C41B1D" w:rsidP="00C41B1D">
      <w:pPr>
        <w:pStyle w:val="a9"/>
        <w:spacing w:line="0" w:lineRule="atLeast"/>
        <w:ind w:left="440"/>
        <w:rPr>
          <w:rFonts w:ascii="Meiryo UI" w:eastAsia="Meiryo UI" w:hAnsi="Meiryo UI"/>
          <w:sz w:val="21"/>
          <w:szCs w:val="21"/>
        </w:rPr>
      </w:pPr>
      <w:r w:rsidRPr="00200404">
        <w:rPr>
          <w:rFonts w:ascii="Meiryo UI" w:eastAsia="Meiryo UI" w:hAnsi="Meiryo UI" w:hint="eastAsia"/>
          <w:sz w:val="21"/>
          <w:szCs w:val="21"/>
        </w:rPr>
        <w:t xml:space="preserve">３　糖尿病を主病とする場合　　　　</w:t>
      </w:r>
      <w:r w:rsidRPr="00200404">
        <w:rPr>
          <w:rFonts w:ascii="Meiryo UI" w:eastAsia="Meiryo UI" w:hAnsi="Meiryo UI"/>
          <w:sz w:val="21"/>
          <w:szCs w:val="21"/>
        </w:rPr>
        <w:t>760点</w:t>
      </w:r>
    </w:p>
    <w:p w14:paraId="4CE413E4" w14:textId="77777777" w:rsidR="00C41B1D" w:rsidRPr="00200404" w:rsidRDefault="00C41B1D" w:rsidP="00C41B1D">
      <w:pPr>
        <w:spacing w:line="0" w:lineRule="atLeast"/>
        <w:rPr>
          <w:rFonts w:ascii="Meiryo UI" w:eastAsia="Meiryo UI" w:hAnsi="Meiryo UI"/>
          <w:color w:val="333333"/>
          <w:sz w:val="21"/>
          <w:szCs w:val="21"/>
          <w:shd w:val="clear" w:color="auto" w:fill="FFFFFF"/>
        </w:rPr>
      </w:pPr>
    </w:p>
    <w:p w14:paraId="79EC32D7" w14:textId="25EE25C7" w:rsidR="00C41B1D" w:rsidRPr="00200404" w:rsidRDefault="00C41B1D" w:rsidP="00C41B1D">
      <w:pPr>
        <w:spacing w:line="0" w:lineRule="atLeast"/>
        <w:rPr>
          <w:rFonts w:ascii="Meiryo UI" w:eastAsia="Meiryo UI" w:hAnsi="Meiryo UI"/>
          <w:color w:val="333333"/>
          <w:sz w:val="21"/>
          <w:szCs w:val="21"/>
          <w:shd w:val="clear" w:color="auto" w:fill="FFFFFF"/>
        </w:rPr>
      </w:pPr>
      <w:r w:rsidRPr="00200404">
        <w:rPr>
          <w:rFonts w:ascii="Meiryo UI" w:eastAsia="Meiryo UI" w:hAnsi="Meiryo UI" w:hint="eastAsia"/>
          <w:color w:val="333333"/>
          <w:sz w:val="21"/>
          <w:szCs w:val="21"/>
          <w:shd w:val="clear" w:color="auto" w:fill="FFFFFF"/>
        </w:rPr>
        <w:t>糖尿病を主病とする患者（</w:t>
      </w:r>
      <w:r w:rsidRPr="00200404">
        <w:rPr>
          <w:rFonts w:ascii="Meiryo UI" w:eastAsia="Meiryo UI" w:hAnsi="Meiryo UI"/>
          <w:color w:val="333333"/>
          <w:sz w:val="21"/>
          <w:szCs w:val="21"/>
          <w:shd w:val="clear" w:color="auto" w:fill="FFFFFF"/>
        </w:rPr>
        <w:t>2型糖尿病の患者でインスリン製剤を使用していない者に限る。）に対して血糖自己測定値に基づく指導を行った場合は血糖自己測定指導加算として年に1回500点を加算す</w:t>
      </w:r>
      <w:r w:rsidR="00271695">
        <w:rPr>
          <w:rFonts w:ascii="Meiryo UI" w:eastAsia="Meiryo UI" w:hAnsi="Meiryo UI" w:hint="eastAsia"/>
          <w:color w:val="333333"/>
          <w:sz w:val="21"/>
          <w:szCs w:val="21"/>
          <w:shd w:val="clear" w:color="auto" w:fill="FFFFFF"/>
        </w:rPr>
        <w:t>る</w:t>
      </w:r>
      <w:r w:rsidRPr="00200404">
        <w:rPr>
          <w:rFonts w:ascii="Meiryo UI" w:eastAsia="Meiryo UI" w:hAnsi="Meiryo UI"/>
          <w:color w:val="333333"/>
          <w:sz w:val="21"/>
          <w:szCs w:val="21"/>
          <w:shd w:val="clear" w:color="auto" w:fill="FFFFFF"/>
        </w:rPr>
        <w:t>。</w:t>
      </w:r>
    </w:p>
    <w:p w14:paraId="1B44400E" w14:textId="4F5C6A4C" w:rsidR="00C41B1D" w:rsidRPr="00200404" w:rsidRDefault="00C41B1D" w:rsidP="00C41B1D">
      <w:pPr>
        <w:spacing w:line="0" w:lineRule="atLeast"/>
        <w:rPr>
          <w:rFonts w:ascii="Meiryo UI" w:eastAsia="Meiryo UI" w:hAnsi="Meiryo UI"/>
          <w:color w:val="333333"/>
          <w:sz w:val="21"/>
          <w:szCs w:val="21"/>
          <w:shd w:val="clear" w:color="auto" w:fill="FFFFFF"/>
        </w:rPr>
      </w:pPr>
      <w:r w:rsidRPr="00200404">
        <w:rPr>
          <w:rFonts w:ascii="Meiryo UI" w:eastAsia="Meiryo UI" w:hAnsi="Meiryo UI"/>
          <w:color w:val="333333"/>
          <w:sz w:val="21"/>
          <w:szCs w:val="21"/>
          <w:shd w:val="clear" w:color="auto" w:fill="FFFFFF"/>
        </w:rPr>
        <w:t xml:space="preserve"> </w:t>
      </w:r>
      <w:r w:rsidRPr="00200404">
        <w:rPr>
          <w:rFonts w:ascii="Meiryo UI" w:eastAsia="Meiryo UI" w:hAnsi="Meiryo UI" w:hint="eastAsia"/>
          <w:color w:val="333333"/>
          <w:sz w:val="21"/>
          <w:szCs w:val="21"/>
          <w:shd w:val="clear" w:color="auto" w:fill="FFFFFF"/>
        </w:rPr>
        <w:t>「３　糖尿病を主病とする場合」を算定する場合にあっては、在宅自己注射指導管理料を算定しているときは算定できません。</w:t>
      </w:r>
    </w:p>
    <w:p w14:paraId="2D9A3BA1" w14:textId="6F8DE3AD" w:rsidR="00C41B1D" w:rsidRPr="00200404" w:rsidRDefault="00C41B1D" w:rsidP="00C41B1D">
      <w:pPr>
        <w:spacing w:line="0" w:lineRule="atLeast"/>
        <w:rPr>
          <w:rFonts w:ascii="Meiryo UI" w:eastAsia="Meiryo UI" w:hAnsi="Meiryo UI"/>
          <w:b/>
          <w:bCs/>
          <w:color w:val="333333"/>
          <w:sz w:val="21"/>
          <w:szCs w:val="21"/>
          <w:shd w:val="clear" w:color="auto" w:fill="FFFFFF"/>
        </w:rPr>
      </w:pPr>
      <w:r w:rsidRPr="00200404">
        <w:rPr>
          <w:rFonts w:ascii="Meiryo UI" w:eastAsia="Meiryo UI" w:hAnsi="Meiryo UI" w:hint="eastAsia"/>
          <w:b/>
          <w:bCs/>
          <w:color w:val="333333"/>
          <w:sz w:val="21"/>
          <w:szCs w:val="21"/>
          <w:shd w:val="clear" w:color="auto" w:fill="FFFFFF"/>
        </w:rPr>
        <w:t>【</w:t>
      </w:r>
      <w:r w:rsidRPr="00200404">
        <w:rPr>
          <w:rFonts w:ascii="Meiryo UI" w:eastAsia="Meiryo UI" w:hAnsi="Meiryo UI" w:hint="eastAsia"/>
          <w:b/>
          <w:bCs/>
          <w:color w:val="333333"/>
          <w:sz w:val="21"/>
          <w:szCs w:val="21"/>
          <w:shd w:val="clear" w:color="auto" w:fill="FFFFFF"/>
        </w:rPr>
        <w:t>管理料に含まれる診療行為</w:t>
      </w:r>
      <w:r w:rsidRPr="00200404">
        <w:rPr>
          <w:rFonts w:ascii="Meiryo UI" w:eastAsia="Meiryo UI" w:hAnsi="Meiryo UI" w:hint="eastAsia"/>
          <w:b/>
          <w:bCs/>
          <w:color w:val="333333"/>
          <w:sz w:val="21"/>
          <w:szCs w:val="21"/>
          <w:shd w:val="clear" w:color="auto" w:fill="FFFFFF"/>
        </w:rPr>
        <w:t>】</w:t>
      </w:r>
    </w:p>
    <w:p w14:paraId="4ED78EE8" w14:textId="77777777" w:rsidR="00C41B1D" w:rsidRPr="00200404" w:rsidRDefault="00C41B1D" w:rsidP="00C41B1D">
      <w:pPr>
        <w:spacing w:line="0" w:lineRule="atLeast"/>
        <w:rPr>
          <w:rFonts w:ascii="Meiryo UI" w:eastAsia="Meiryo UI" w:hAnsi="Meiryo UI"/>
          <w:color w:val="333333"/>
          <w:sz w:val="21"/>
          <w:szCs w:val="21"/>
          <w:shd w:val="clear" w:color="auto" w:fill="FFFFFF"/>
        </w:rPr>
      </w:pPr>
      <w:r w:rsidRPr="00200404">
        <w:rPr>
          <w:rFonts w:ascii="Meiryo UI" w:eastAsia="Meiryo UI" w:hAnsi="Meiryo UI" w:hint="eastAsia"/>
          <w:color w:val="333333"/>
          <w:sz w:val="21"/>
          <w:szCs w:val="21"/>
          <w:shd w:val="clear" w:color="auto" w:fill="FFFFFF"/>
        </w:rPr>
        <w:t>生活習慣病管理料（Ⅰ）に含まれる点数</w:t>
      </w:r>
    </w:p>
    <w:p w14:paraId="3E9236AB" w14:textId="77777777" w:rsidR="00C41B1D" w:rsidRPr="00200404" w:rsidRDefault="00C41B1D" w:rsidP="00C41B1D">
      <w:pPr>
        <w:spacing w:line="0" w:lineRule="atLeast"/>
        <w:rPr>
          <w:rFonts w:ascii="Meiryo UI" w:eastAsia="Meiryo UI" w:hAnsi="Meiryo UI"/>
          <w:color w:val="333333"/>
          <w:sz w:val="21"/>
          <w:szCs w:val="21"/>
          <w:shd w:val="clear" w:color="auto" w:fill="FFFFFF"/>
        </w:rPr>
      </w:pPr>
      <w:r w:rsidRPr="00200404">
        <w:rPr>
          <w:rFonts w:ascii="Meiryo UI" w:eastAsia="Meiryo UI" w:hAnsi="Meiryo UI" w:hint="eastAsia"/>
          <w:color w:val="333333"/>
          <w:sz w:val="21"/>
          <w:szCs w:val="21"/>
          <w:shd w:val="clear" w:color="auto" w:fill="FFFFFF"/>
        </w:rPr>
        <w:t>・外来管理加算</w:t>
      </w:r>
    </w:p>
    <w:p w14:paraId="0A48168A" w14:textId="77777777" w:rsidR="00C41B1D" w:rsidRPr="00200404" w:rsidRDefault="00C41B1D" w:rsidP="00C41B1D">
      <w:pPr>
        <w:spacing w:line="0" w:lineRule="atLeast"/>
        <w:rPr>
          <w:rFonts w:ascii="Meiryo UI" w:eastAsia="Meiryo UI" w:hAnsi="Meiryo UI"/>
          <w:color w:val="333333"/>
          <w:sz w:val="21"/>
          <w:szCs w:val="21"/>
          <w:shd w:val="clear" w:color="auto" w:fill="FFFFFF"/>
        </w:rPr>
      </w:pPr>
      <w:r w:rsidRPr="00200404">
        <w:rPr>
          <w:rFonts w:ascii="Meiryo UI" w:eastAsia="Meiryo UI" w:hAnsi="Meiryo UI" w:hint="eastAsia"/>
          <w:color w:val="333333"/>
          <w:sz w:val="21"/>
          <w:szCs w:val="21"/>
          <w:shd w:val="clear" w:color="auto" w:fill="FFFFFF"/>
        </w:rPr>
        <w:t>・第</w:t>
      </w:r>
      <w:r w:rsidRPr="00200404">
        <w:rPr>
          <w:rFonts w:ascii="Meiryo UI" w:eastAsia="Meiryo UI" w:hAnsi="Meiryo UI"/>
          <w:color w:val="333333"/>
          <w:sz w:val="21"/>
          <w:szCs w:val="21"/>
          <w:shd w:val="clear" w:color="auto" w:fill="FFFFFF"/>
        </w:rPr>
        <w:t>2章第1部　医学管理等（糖尿病合併症管理料、がん性疼痛緩和指導管理料、外来緩和ケア管理料、糖尿病透析予防指導管理料、慢性腎臓病透析予防指導管理料を除く）</w:t>
      </w:r>
    </w:p>
    <w:p w14:paraId="0A956C80" w14:textId="77777777" w:rsidR="00C41B1D" w:rsidRPr="00200404" w:rsidRDefault="00C41B1D" w:rsidP="00C41B1D">
      <w:pPr>
        <w:spacing w:line="0" w:lineRule="atLeast"/>
        <w:rPr>
          <w:rFonts w:ascii="Meiryo UI" w:eastAsia="Meiryo UI" w:hAnsi="Meiryo UI"/>
          <w:color w:val="333333"/>
          <w:sz w:val="21"/>
          <w:szCs w:val="21"/>
          <w:shd w:val="clear" w:color="auto" w:fill="FFFFFF"/>
        </w:rPr>
      </w:pPr>
      <w:r w:rsidRPr="00200404">
        <w:rPr>
          <w:rFonts w:ascii="Meiryo UI" w:eastAsia="Meiryo UI" w:hAnsi="Meiryo UI" w:hint="eastAsia"/>
          <w:color w:val="333333"/>
          <w:sz w:val="21"/>
          <w:szCs w:val="21"/>
          <w:shd w:val="clear" w:color="auto" w:fill="FFFFFF"/>
        </w:rPr>
        <w:t>・第</w:t>
      </w:r>
      <w:r w:rsidRPr="00200404">
        <w:rPr>
          <w:rFonts w:ascii="Meiryo UI" w:eastAsia="Meiryo UI" w:hAnsi="Meiryo UI"/>
          <w:color w:val="333333"/>
          <w:sz w:val="21"/>
          <w:szCs w:val="21"/>
          <w:shd w:val="clear" w:color="auto" w:fill="FFFFFF"/>
        </w:rPr>
        <w:t>3部　 検査</w:t>
      </w:r>
    </w:p>
    <w:p w14:paraId="21701F1A" w14:textId="77777777" w:rsidR="00C41B1D" w:rsidRPr="00200404" w:rsidRDefault="00C41B1D" w:rsidP="00C41B1D">
      <w:pPr>
        <w:spacing w:line="0" w:lineRule="atLeast"/>
        <w:rPr>
          <w:rFonts w:ascii="Meiryo UI" w:eastAsia="Meiryo UI" w:hAnsi="Meiryo UI"/>
          <w:color w:val="333333"/>
          <w:sz w:val="21"/>
          <w:szCs w:val="21"/>
          <w:shd w:val="clear" w:color="auto" w:fill="FFFFFF"/>
        </w:rPr>
      </w:pPr>
      <w:r w:rsidRPr="00200404">
        <w:rPr>
          <w:rFonts w:ascii="Meiryo UI" w:eastAsia="Meiryo UI" w:hAnsi="Meiryo UI" w:hint="eastAsia"/>
          <w:color w:val="333333"/>
          <w:sz w:val="21"/>
          <w:szCs w:val="21"/>
          <w:shd w:val="clear" w:color="auto" w:fill="FFFFFF"/>
        </w:rPr>
        <w:t>・第</w:t>
      </w:r>
      <w:r w:rsidRPr="00200404">
        <w:rPr>
          <w:rFonts w:ascii="Meiryo UI" w:eastAsia="Meiryo UI" w:hAnsi="Meiryo UI"/>
          <w:color w:val="333333"/>
          <w:sz w:val="21"/>
          <w:szCs w:val="21"/>
          <w:shd w:val="clear" w:color="auto" w:fill="FFFFFF"/>
        </w:rPr>
        <w:t>6部　注射</w:t>
      </w:r>
    </w:p>
    <w:p w14:paraId="71AA2C20" w14:textId="6565EF8D" w:rsidR="00C41B1D" w:rsidRPr="00200404" w:rsidRDefault="00C41B1D" w:rsidP="00C41B1D">
      <w:pPr>
        <w:spacing w:line="0" w:lineRule="atLeast"/>
        <w:rPr>
          <w:rFonts w:ascii="Meiryo UI" w:eastAsia="Meiryo UI" w:hAnsi="Meiryo UI"/>
          <w:color w:val="333333"/>
          <w:sz w:val="21"/>
          <w:szCs w:val="21"/>
          <w:shd w:val="clear" w:color="auto" w:fill="FFFFFF"/>
        </w:rPr>
      </w:pPr>
      <w:r w:rsidRPr="00200404">
        <w:rPr>
          <w:rFonts w:ascii="Meiryo UI" w:eastAsia="Meiryo UI" w:hAnsi="Meiryo UI" w:hint="eastAsia"/>
          <w:color w:val="333333"/>
          <w:sz w:val="21"/>
          <w:szCs w:val="21"/>
          <w:shd w:val="clear" w:color="auto" w:fill="FFFFFF"/>
        </w:rPr>
        <w:t>・第</w:t>
      </w:r>
      <w:r w:rsidRPr="00200404">
        <w:rPr>
          <w:rFonts w:ascii="Meiryo UI" w:eastAsia="Meiryo UI" w:hAnsi="Meiryo UI"/>
          <w:color w:val="333333"/>
          <w:sz w:val="21"/>
          <w:szCs w:val="21"/>
          <w:shd w:val="clear" w:color="auto" w:fill="FFFFFF"/>
        </w:rPr>
        <w:t>13部　病理診断</w:t>
      </w:r>
    </w:p>
    <w:p w14:paraId="1CC862E1" w14:textId="77777777" w:rsidR="00C41B1D" w:rsidRPr="00200404" w:rsidRDefault="00C41B1D" w:rsidP="00C41B1D">
      <w:pPr>
        <w:spacing w:line="0" w:lineRule="atLeast"/>
        <w:rPr>
          <w:rFonts w:ascii="Meiryo UI" w:eastAsia="Meiryo UI" w:hAnsi="Meiryo UI"/>
          <w:color w:val="333333"/>
          <w:sz w:val="21"/>
          <w:szCs w:val="21"/>
          <w:shd w:val="clear" w:color="auto" w:fill="FFFFFF"/>
        </w:rPr>
      </w:pPr>
    </w:p>
    <w:p w14:paraId="09D89A3F" w14:textId="3348D8E9" w:rsidR="00C41B1D" w:rsidRPr="00200404" w:rsidRDefault="00200404" w:rsidP="00C41B1D">
      <w:pPr>
        <w:spacing w:line="0" w:lineRule="atLeast"/>
        <w:rPr>
          <w:rFonts w:ascii="Meiryo UI" w:eastAsia="Meiryo UI" w:hAnsi="Meiryo UI" w:hint="eastAsia"/>
          <w:color w:val="333333"/>
          <w:sz w:val="21"/>
          <w:szCs w:val="21"/>
          <w:shd w:val="clear" w:color="auto" w:fill="FFFFFF"/>
        </w:rPr>
      </w:pPr>
      <w:r w:rsidRPr="00200404">
        <w:rPr>
          <w:rFonts w:ascii="Meiryo UI" w:eastAsia="Meiryo UI" w:hAnsi="Meiryo UI" w:hint="eastAsia"/>
          <w:b/>
          <w:bCs/>
          <w:color w:val="333333"/>
          <w:sz w:val="24"/>
          <w:shd w:val="clear" w:color="auto" w:fill="FFFFFF"/>
        </w:rPr>
        <w:t>生活習慣病管理料（Ⅱ）</w:t>
      </w:r>
      <w:r w:rsidRPr="00200404">
        <w:rPr>
          <w:rFonts w:ascii="Meiryo UI" w:eastAsia="Meiryo UI" w:hAnsi="Meiryo UI" w:hint="eastAsia"/>
          <w:color w:val="333333"/>
          <w:sz w:val="21"/>
          <w:szCs w:val="21"/>
          <w:shd w:val="clear" w:color="auto" w:fill="FFFFFF"/>
        </w:rPr>
        <w:t>月に</w:t>
      </w:r>
      <w:r w:rsidRPr="00200404">
        <w:rPr>
          <w:rFonts w:ascii="Meiryo UI" w:eastAsia="Meiryo UI" w:hAnsi="Meiryo UI"/>
          <w:color w:val="333333"/>
          <w:sz w:val="21"/>
          <w:szCs w:val="21"/>
          <w:shd w:val="clear" w:color="auto" w:fill="FFFFFF"/>
        </w:rPr>
        <w:t>1回に限り算定</w:t>
      </w:r>
    </w:p>
    <w:p w14:paraId="5492084C" w14:textId="77777777" w:rsidR="00200404" w:rsidRPr="00200404" w:rsidRDefault="00200404" w:rsidP="00200404">
      <w:pPr>
        <w:spacing w:line="0" w:lineRule="atLeast"/>
        <w:rPr>
          <w:rFonts w:ascii="Meiryo UI" w:eastAsia="Meiryo UI" w:hAnsi="Meiryo UI"/>
          <w:color w:val="333333"/>
          <w:sz w:val="21"/>
          <w:szCs w:val="21"/>
          <w:shd w:val="clear" w:color="auto" w:fill="FFFFFF"/>
        </w:rPr>
      </w:pPr>
      <w:r w:rsidRPr="00200404">
        <w:rPr>
          <w:rFonts w:ascii="Meiryo UI" w:eastAsia="Meiryo UI" w:hAnsi="Meiryo UI" w:hint="eastAsia"/>
          <w:color w:val="333333"/>
          <w:sz w:val="21"/>
          <w:szCs w:val="21"/>
          <w:shd w:val="clear" w:color="auto" w:fill="FFFFFF"/>
        </w:rPr>
        <w:t xml:space="preserve">生活習慣病管理料（Ⅱ）　</w:t>
      </w:r>
      <w:r w:rsidRPr="00200404">
        <w:rPr>
          <w:rFonts w:ascii="Meiryo UI" w:eastAsia="Meiryo UI" w:hAnsi="Meiryo UI"/>
          <w:color w:val="333333"/>
          <w:sz w:val="21"/>
          <w:szCs w:val="21"/>
          <w:shd w:val="clear" w:color="auto" w:fill="FFFFFF"/>
        </w:rPr>
        <w:t>333点</w:t>
      </w:r>
    </w:p>
    <w:p w14:paraId="70602E06" w14:textId="0155394F" w:rsidR="00200404" w:rsidRPr="00200404" w:rsidRDefault="00200404" w:rsidP="00200404">
      <w:pPr>
        <w:spacing w:line="0" w:lineRule="atLeast"/>
        <w:rPr>
          <w:rFonts w:ascii="Meiryo UI" w:eastAsia="Meiryo UI" w:hAnsi="Meiryo UI" w:hint="eastAsia"/>
          <w:color w:val="333333"/>
          <w:sz w:val="21"/>
          <w:szCs w:val="21"/>
          <w:shd w:val="clear" w:color="auto" w:fill="FFFFFF"/>
        </w:rPr>
      </w:pPr>
      <w:r w:rsidRPr="00200404">
        <w:rPr>
          <w:rFonts w:ascii="Meiryo UI" w:eastAsia="Meiryo UI" w:hAnsi="Meiryo UI" w:hint="eastAsia"/>
          <w:color w:val="333333"/>
          <w:sz w:val="21"/>
          <w:szCs w:val="21"/>
          <w:shd w:val="clear" w:color="auto" w:fill="FFFFFF"/>
        </w:rPr>
        <w:t xml:space="preserve">情報通信機器を用いた場合　</w:t>
      </w:r>
      <w:r w:rsidRPr="00200404">
        <w:rPr>
          <w:rFonts w:ascii="Meiryo UI" w:eastAsia="Meiryo UI" w:hAnsi="Meiryo UI"/>
          <w:color w:val="333333"/>
          <w:sz w:val="21"/>
          <w:szCs w:val="21"/>
          <w:shd w:val="clear" w:color="auto" w:fill="FFFFFF"/>
        </w:rPr>
        <w:t>290点</w:t>
      </w:r>
    </w:p>
    <w:p w14:paraId="1E75427C" w14:textId="1B351663" w:rsidR="00200404" w:rsidRPr="00200404" w:rsidRDefault="00200404" w:rsidP="00C41B1D">
      <w:pPr>
        <w:spacing w:line="0" w:lineRule="atLeast"/>
        <w:rPr>
          <w:rFonts w:ascii="Meiryo UI" w:eastAsia="Meiryo UI" w:hAnsi="Meiryo UI"/>
          <w:color w:val="333333"/>
          <w:sz w:val="21"/>
          <w:szCs w:val="21"/>
          <w:shd w:val="clear" w:color="auto" w:fill="FFFFFF"/>
        </w:rPr>
      </w:pPr>
      <w:r w:rsidRPr="00200404">
        <w:rPr>
          <w:rFonts w:ascii="Meiryo UI" w:eastAsia="Meiryo UI" w:hAnsi="Meiryo UI" w:hint="eastAsia"/>
          <w:color w:val="333333"/>
          <w:sz w:val="21"/>
          <w:szCs w:val="21"/>
          <w:shd w:val="clear" w:color="auto" w:fill="FFFFFF"/>
        </w:rPr>
        <w:t>【対象患者】</w:t>
      </w:r>
    </w:p>
    <w:p w14:paraId="480A0814" w14:textId="77777777" w:rsidR="00200404" w:rsidRPr="00200404" w:rsidRDefault="00200404" w:rsidP="00200404">
      <w:pPr>
        <w:spacing w:line="0" w:lineRule="atLeast"/>
        <w:rPr>
          <w:rFonts w:ascii="Meiryo UI" w:eastAsia="Meiryo UI" w:hAnsi="Meiryo UI"/>
          <w:color w:val="333333"/>
          <w:sz w:val="21"/>
          <w:szCs w:val="21"/>
          <w:shd w:val="clear" w:color="auto" w:fill="FFFFFF"/>
        </w:rPr>
      </w:pPr>
      <w:r w:rsidRPr="00200404">
        <w:rPr>
          <w:rFonts w:ascii="Meiryo UI" w:eastAsia="Meiryo UI" w:hAnsi="Meiryo UI" w:hint="eastAsia"/>
          <w:color w:val="333333"/>
          <w:sz w:val="21"/>
          <w:szCs w:val="21"/>
          <w:shd w:val="clear" w:color="auto" w:fill="FFFFFF"/>
        </w:rPr>
        <w:t>入院中の患者以外の</w:t>
      </w:r>
    </w:p>
    <w:p w14:paraId="43E4B890" w14:textId="77777777" w:rsidR="00200404" w:rsidRPr="00200404" w:rsidRDefault="00200404" w:rsidP="00200404">
      <w:pPr>
        <w:spacing w:line="0" w:lineRule="atLeast"/>
        <w:rPr>
          <w:rFonts w:ascii="Meiryo UI" w:eastAsia="Meiryo UI" w:hAnsi="Meiryo UI"/>
          <w:color w:val="333333"/>
          <w:sz w:val="21"/>
          <w:szCs w:val="21"/>
          <w:shd w:val="clear" w:color="auto" w:fill="FFFFFF"/>
        </w:rPr>
      </w:pPr>
      <w:r w:rsidRPr="00200404">
        <w:rPr>
          <w:rFonts w:ascii="Meiryo UI" w:eastAsia="Meiryo UI" w:hAnsi="Meiryo UI" w:hint="eastAsia"/>
          <w:color w:val="333333"/>
          <w:sz w:val="21"/>
          <w:szCs w:val="21"/>
          <w:shd w:val="clear" w:color="auto" w:fill="FFFFFF"/>
        </w:rPr>
        <w:t>・脂質異常症</w:t>
      </w:r>
    </w:p>
    <w:p w14:paraId="38894939" w14:textId="77777777" w:rsidR="00200404" w:rsidRPr="00200404" w:rsidRDefault="00200404" w:rsidP="00200404">
      <w:pPr>
        <w:spacing w:line="0" w:lineRule="atLeast"/>
        <w:rPr>
          <w:rFonts w:ascii="Meiryo UI" w:eastAsia="Meiryo UI" w:hAnsi="Meiryo UI"/>
          <w:color w:val="333333"/>
          <w:sz w:val="21"/>
          <w:szCs w:val="21"/>
          <w:shd w:val="clear" w:color="auto" w:fill="FFFFFF"/>
        </w:rPr>
      </w:pPr>
      <w:r w:rsidRPr="00200404">
        <w:rPr>
          <w:rFonts w:ascii="Meiryo UI" w:eastAsia="Meiryo UI" w:hAnsi="Meiryo UI" w:hint="eastAsia"/>
          <w:color w:val="333333"/>
          <w:sz w:val="21"/>
          <w:szCs w:val="21"/>
          <w:shd w:val="clear" w:color="auto" w:fill="FFFFFF"/>
        </w:rPr>
        <w:t>・高血圧症</w:t>
      </w:r>
    </w:p>
    <w:p w14:paraId="05CAF28B" w14:textId="77777777" w:rsidR="00200404" w:rsidRPr="00200404" w:rsidRDefault="00200404" w:rsidP="00200404">
      <w:pPr>
        <w:spacing w:line="0" w:lineRule="atLeast"/>
        <w:rPr>
          <w:rFonts w:ascii="Meiryo UI" w:eastAsia="Meiryo UI" w:hAnsi="Meiryo UI"/>
          <w:color w:val="333333"/>
          <w:sz w:val="21"/>
          <w:szCs w:val="21"/>
          <w:shd w:val="clear" w:color="auto" w:fill="FFFFFF"/>
        </w:rPr>
      </w:pPr>
      <w:r w:rsidRPr="00200404">
        <w:rPr>
          <w:rFonts w:ascii="Meiryo UI" w:eastAsia="Meiryo UI" w:hAnsi="Meiryo UI" w:hint="eastAsia"/>
          <w:color w:val="333333"/>
          <w:sz w:val="21"/>
          <w:szCs w:val="21"/>
          <w:shd w:val="clear" w:color="auto" w:fill="FFFFFF"/>
        </w:rPr>
        <w:t>・糖尿病</w:t>
      </w:r>
    </w:p>
    <w:p w14:paraId="0426F74B" w14:textId="55C76203" w:rsidR="00200404" w:rsidRPr="00200404" w:rsidRDefault="00200404" w:rsidP="00200404">
      <w:pPr>
        <w:spacing w:line="0" w:lineRule="atLeast"/>
        <w:rPr>
          <w:rFonts w:ascii="Meiryo UI" w:eastAsia="Meiryo UI" w:hAnsi="Meiryo UI"/>
          <w:color w:val="333333"/>
          <w:sz w:val="21"/>
          <w:szCs w:val="21"/>
          <w:shd w:val="clear" w:color="auto" w:fill="FFFFFF"/>
        </w:rPr>
      </w:pPr>
      <w:r w:rsidRPr="00200404">
        <w:rPr>
          <w:rFonts w:ascii="Meiryo UI" w:eastAsia="Meiryo UI" w:hAnsi="Meiryo UI" w:hint="eastAsia"/>
          <w:color w:val="333333"/>
          <w:sz w:val="21"/>
          <w:szCs w:val="21"/>
          <w:shd w:val="clear" w:color="auto" w:fill="FFFFFF"/>
        </w:rPr>
        <w:lastRenderedPageBreak/>
        <w:t>を主病とする患者。</w:t>
      </w:r>
    </w:p>
    <w:p w14:paraId="19C0C72F" w14:textId="095A2DA1" w:rsidR="00200404" w:rsidRPr="00200404" w:rsidRDefault="00200404" w:rsidP="00200404">
      <w:pPr>
        <w:spacing w:line="0" w:lineRule="atLeast"/>
        <w:rPr>
          <w:rFonts w:ascii="Meiryo UI" w:eastAsia="Meiryo UI" w:hAnsi="Meiryo UI"/>
          <w:color w:val="333333"/>
          <w:sz w:val="21"/>
          <w:szCs w:val="21"/>
          <w:shd w:val="clear" w:color="auto" w:fill="FFFFFF"/>
        </w:rPr>
      </w:pPr>
      <w:r w:rsidRPr="00200404">
        <w:rPr>
          <w:rFonts w:ascii="Meiryo UI" w:eastAsia="Meiryo UI" w:hAnsi="Meiryo UI" w:hint="eastAsia"/>
          <w:color w:val="333333"/>
          <w:sz w:val="21"/>
          <w:szCs w:val="21"/>
          <w:shd w:val="clear" w:color="auto" w:fill="FFFFFF"/>
        </w:rPr>
        <w:t>糖尿病を主病とする患者（</w:t>
      </w:r>
      <w:r w:rsidRPr="00200404">
        <w:rPr>
          <w:rFonts w:ascii="Meiryo UI" w:eastAsia="Meiryo UI" w:hAnsi="Meiryo UI"/>
          <w:color w:val="333333"/>
          <w:sz w:val="21"/>
          <w:szCs w:val="21"/>
          <w:shd w:val="clear" w:color="auto" w:fill="FFFFFF"/>
        </w:rPr>
        <w:t>2型糖尿病の患者であってインスリン製剤を使用していない者に限る。）に対して、血糖自己測定値に基づく指導を行った場合は、血糖自己測定指導加算として、年に1回500点を加算</w:t>
      </w:r>
      <w:r w:rsidR="00271695">
        <w:rPr>
          <w:rFonts w:ascii="Meiryo UI" w:eastAsia="Meiryo UI" w:hAnsi="Meiryo UI" w:hint="eastAsia"/>
          <w:color w:val="333333"/>
          <w:sz w:val="21"/>
          <w:szCs w:val="21"/>
          <w:shd w:val="clear" w:color="auto" w:fill="FFFFFF"/>
        </w:rPr>
        <w:t>する</w:t>
      </w:r>
      <w:r w:rsidRPr="00200404">
        <w:rPr>
          <w:rFonts w:ascii="Meiryo UI" w:eastAsia="Meiryo UI" w:hAnsi="Meiryo UI"/>
          <w:color w:val="333333"/>
          <w:sz w:val="21"/>
          <w:szCs w:val="21"/>
          <w:shd w:val="clear" w:color="auto" w:fill="FFFFFF"/>
        </w:rPr>
        <w:t>。</w:t>
      </w:r>
    </w:p>
    <w:p w14:paraId="13A618C3" w14:textId="77777777" w:rsidR="00200404" w:rsidRPr="00200404" w:rsidRDefault="00200404" w:rsidP="00200404">
      <w:pPr>
        <w:spacing w:line="0" w:lineRule="atLeast"/>
        <w:rPr>
          <w:rFonts w:ascii="Meiryo UI" w:eastAsia="Meiryo UI" w:hAnsi="Meiryo UI"/>
          <w:color w:val="333333"/>
          <w:sz w:val="21"/>
          <w:szCs w:val="21"/>
          <w:shd w:val="clear" w:color="auto" w:fill="FFFFFF"/>
        </w:rPr>
      </w:pPr>
      <w:r w:rsidRPr="00200404">
        <w:rPr>
          <w:rFonts w:ascii="Meiryo UI" w:eastAsia="Meiryo UI" w:hAnsi="Meiryo UI"/>
          <w:color w:val="333333"/>
          <w:sz w:val="21"/>
          <w:szCs w:val="21"/>
          <w:shd w:val="clear" w:color="auto" w:fill="FFFFFF"/>
        </w:rPr>
        <w:t xml:space="preserve"> </w:t>
      </w:r>
    </w:p>
    <w:p w14:paraId="182FC0FA" w14:textId="6610BDA4" w:rsidR="00200404" w:rsidRPr="00200404" w:rsidRDefault="00200404" w:rsidP="00200404">
      <w:pPr>
        <w:spacing w:line="0" w:lineRule="atLeast"/>
        <w:rPr>
          <w:rFonts w:ascii="Meiryo UI" w:eastAsia="Meiryo UI" w:hAnsi="Meiryo UI"/>
          <w:color w:val="333333"/>
          <w:sz w:val="21"/>
          <w:szCs w:val="21"/>
          <w:shd w:val="clear" w:color="auto" w:fill="FFFFFF"/>
        </w:rPr>
      </w:pPr>
      <w:r w:rsidRPr="00200404">
        <w:rPr>
          <w:rFonts w:ascii="Meiryo UI" w:eastAsia="Meiryo UI" w:hAnsi="Meiryo UI" w:hint="eastAsia"/>
          <w:color w:val="333333"/>
          <w:sz w:val="21"/>
          <w:szCs w:val="21"/>
          <w:shd w:val="clear" w:color="auto" w:fill="FFFFFF"/>
        </w:rPr>
        <w:t xml:space="preserve">　生活習慣病管理料（Ⅰ）を算定した日の属する月から起算して</w:t>
      </w:r>
      <w:r w:rsidRPr="00200404">
        <w:rPr>
          <w:rFonts w:ascii="Meiryo UI" w:eastAsia="Meiryo UI" w:hAnsi="Meiryo UI"/>
          <w:color w:val="333333"/>
          <w:sz w:val="21"/>
          <w:szCs w:val="21"/>
          <w:shd w:val="clear" w:color="auto" w:fill="FFFFFF"/>
        </w:rPr>
        <w:t>6月以内の期間は、生活習慣病管理料（Ⅱ）は算定できません。</w:t>
      </w:r>
    </w:p>
    <w:p w14:paraId="3E531723" w14:textId="77777777" w:rsidR="00200404" w:rsidRPr="00200404" w:rsidRDefault="00200404" w:rsidP="00200404">
      <w:pPr>
        <w:spacing w:line="0" w:lineRule="atLeast"/>
        <w:rPr>
          <w:rFonts w:ascii="Meiryo UI" w:eastAsia="Meiryo UI" w:hAnsi="Meiryo UI"/>
          <w:b/>
          <w:bCs/>
          <w:color w:val="333333"/>
          <w:sz w:val="21"/>
          <w:szCs w:val="21"/>
          <w:shd w:val="clear" w:color="auto" w:fill="FFFFFF"/>
        </w:rPr>
      </w:pPr>
      <w:r w:rsidRPr="00200404">
        <w:rPr>
          <w:rFonts w:ascii="Meiryo UI" w:eastAsia="Meiryo UI" w:hAnsi="Meiryo UI" w:hint="eastAsia"/>
          <w:b/>
          <w:bCs/>
          <w:color w:val="333333"/>
          <w:sz w:val="21"/>
          <w:szCs w:val="21"/>
          <w:shd w:val="clear" w:color="auto" w:fill="FFFFFF"/>
        </w:rPr>
        <w:t>【管理料に含まれる診療行為】</w:t>
      </w:r>
    </w:p>
    <w:p w14:paraId="0F6D8B2B" w14:textId="77777777" w:rsidR="00200404" w:rsidRPr="00200404" w:rsidRDefault="00200404" w:rsidP="00200404">
      <w:pPr>
        <w:spacing w:line="0" w:lineRule="atLeast"/>
        <w:rPr>
          <w:rFonts w:ascii="Meiryo UI" w:eastAsia="Meiryo UI" w:hAnsi="Meiryo UI"/>
          <w:color w:val="333333"/>
          <w:sz w:val="21"/>
          <w:szCs w:val="21"/>
          <w:shd w:val="clear" w:color="auto" w:fill="FFFFFF"/>
        </w:rPr>
      </w:pPr>
      <w:r w:rsidRPr="00200404">
        <w:rPr>
          <w:rFonts w:ascii="Meiryo UI" w:eastAsia="Meiryo UI" w:hAnsi="Meiryo UI" w:hint="eastAsia"/>
          <w:color w:val="333333"/>
          <w:sz w:val="21"/>
          <w:szCs w:val="21"/>
          <w:shd w:val="clear" w:color="auto" w:fill="FFFFFF"/>
        </w:rPr>
        <w:t>生活習慣病管理料（Ⅱ）に含まれる点数</w:t>
      </w:r>
    </w:p>
    <w:p w14:paraId="7880993B" w14:textId="77777777" w:rsidR="00200404" w:rsidRPr="00200404" w:rsidRDefault="00200404" w:rsidP="00200404">
      <w:pPr>
        <w:spacing w:line="0" w:lineRule="atLeast"/>
        <w:rPr>
          <w:rFonts w:ascii="Meiryo UI" w:eastAsia="Meiryo UI" w:hAnsi="Meiryo UI"/>
          <w:color w:val="333333"/>
          <w:sz w:val="21"/>
          <w:szCs w:val="21"/>
          <w:shd w:val="clear" w:color="auto" w:fill="FFFFFF"/>
        </w:rPr>
      </w:pPr>
      <w:r w:rsidRPr="00200404">
        <w:rPr>
          <w:rFonts w:ascii="Meiryo UI" w:eastAsia="Meiryo UI" w:hAnsi="Meiryo UI" w:hint="eastAsia"/>
          <w:color w:val="333333"/>
          <w:sz w:val="21"/>
          <w:szCs w:val="21"/>
          <w:shd w:val="clear" w:color="auto" w:fill="FFFFFF"/>
        </w:rPr>
        <w:t>・外来管理加算</w:t>
      </w:r>
    </w:p>
    <w:p w14:paraId="42F6DB08" w14:textId="7158D1ED" w:rsidR="00200404" w:rsidRPr="00200404" w:rsidRDefault="00200404" w:rsidP="00200404">
      <w:pPr>
        <w:spacing w:line="0" w:lineRule="atLeast"/>
        <w:rPr>
          <w:rFonts w:ascii="Meiryo UI" w:eastAsia="Meiryo UI" w:hAnsi="Meiryo UI" w:hint="eastAsia"/>
          <w:color w:val="333333"/>
          <w:sz w:val="21"/>
          <w:szCs w:val="21"/>
          <w:shd w:val="clear" w:color="auto" w:fill="FFFFFF"/>
        </w:rPr>
      </w:pPr>
      <w:r w:rsidRPr="00200404">
        <w:rPr>
          <w:rFonts w:ascii="Meiryo UI" w:eastAsia="Meiryo UI" w:hAnsi="Meiryo UI" w:hint="eastAsia"/>
          <w:color w:val="333333"/>
          <w:sz w:val="21"/>
          <w:szCs w:val="21"/>
          <w:shd w:val="clear" w:color="auto" w:fill="FFFFFF"/>
        </w:rPr>
        <w:t>・第</w:t>
      </w:r>
      <w:r w:rsidRPr="00200404">
        <w:rPr>
          <w:rFonts w:ascii="Meiryo UI" w:eastAsia="Meiryo UI" w:hAnsi="Meiryo UI"/>
          <w:color w:val="333333"/>
          <w:sz w:val="21"/>
          <w:szCs w:val="21"/>
          <w:shd w:val="clear" w:color="auto" w:fill="FFFFFF"/>
        </w:rPr>
        <w:t>2章第一部第一節　医学管理等（外来栄養食事指導料、集団栄養食事指導料、糖尿病合併症管理料、がん性疼痛緩和指導管理料、外来緩和ケア管理料、糖尿病透析予防指導管理料、慢性腎臓病透析予防指導管理料、ニコチン依存症管理料、療養・就労両立支援指導料、プログラム医療機器等指導管理料、診療情報提供料（１）、電子的診療情報評価料、診療情報提供料(2)、</w:t>
      </w:r>
      <w:r w:rsidRPr="00200404">
        <w:rPr>
          <w:rFonts w:ascii="Meiryo UI" w:eastAsia="Meiryo UI" w:hAnsi="Meiryo UI" w:hint="eastAsia"/>
          <w:color w:val="333333"/>
          <w:sz w:val="21"/>
          <w:szCs w:val="21"/>
          <w:shd w:val="clear" w:color="auto" w:fill="FFFFFF"/>
        </w:rPr>
        <w:t>診療情報連携共有料、連携強化診療情報提供料、薬剤情報提供料を除く）</w:t>
      </w:r>
    </w:p>
    <w:sectPr w:rsidR="00200404" w:rsidRPr="002004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B2582"/>
    <w:multiLevelType w:val="hybridMultilevel"/>
    <w:tmpl w:val="82682D7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529743B"/>
    <w:multiLevelType w:val="multilevel"/>
    <w:tmpl w:val="8996E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2125394">
    <w:abstractNumId w:val="1"/>
  </w:num>
  <w:num w:numId="2" w16cid:durableId="168906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37"/>
    <w:rsid w:val="0019388E"/>
    <w:rsid w:val="00200404"/>
    <w:rsid w:val="00271695"/>
    <w:rsid w:val="00B44FB8"/>
    <w:rsid w:val="00C41B1D"/>
    <w:rsid w:val="00D86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CD3B50"/>
  <w15:chartTrackingRefBased/>
  <w15:docId w15:val="{69FB8034-4D8E-48E0-9FA2-E56BB201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6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66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663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866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66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66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66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66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66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66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66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663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866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66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66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66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66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66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6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6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6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637"/>
    <w:pPr>
      <w:spacing w:before="160"/>
      <w:jc w:val="center"/>
    </w:pPr>
    <w:rPr>
      <w:i/>
      <w:iCs/>
      <w:color w:val="404040" w:themeColor="text1" w:themeTint="BF"/>
    </w:rPr>
  </w:style>
  <w:style w:type="character" w:customStyle="1" w:styleId="a8">
    <w:name w:val="引用文 (文字)"/>
    <w:basedOn w:val="a0"/>
    <w:link w:val="a7"/>
    <w:uiPriority w:val="29"/>
    <w:rsid w:val="00D86637"/>
    <w:rPr>
      <w:i/>
      <w:iCs/>
      <w:color w:val="404040" w:themeColor="text1" w:themeTint="BF"/>
    </w:rPr>
  </w:style>
  <w:style w:type="paragraph" w:styleId="a9">
    <w:name w:val="List Paragraph"/>
    <w:basedOn w:val="a"/>
    <w:uiPriority w:val="34"/>
    <w:qFormat/>
    <w:rsid w:val="00D86637"/>
    <w:pPr>
      <w:ind w:left="720"/>
      <w:contextualSpacing/>
    </w:pPr>
  </w:style>
  <w:style w:type="character" w:styleId="21">
    <w:name w:val="Intense Emphasis"/>
    <w:basedOn w:val="a0"/>
    <w:uiPriority w:val="21"/>
    <w:qFormat/>
    <w:rsid w:val="00D86637"/>
    <w:rPr>
      <w:i/>
      <w:iCs/>
      <w:color w:val="0F4761" w:themeColor="accent1" w:themeShade="BF"/>
    </w:rPr>
  </w:style>
  <w:style w:type="paragraph" w:styleId="22">
    <w:name w:val="Intense Quote"/>
    <w:basedOn w:val="a"/>
    <w:next w:val="a"/>
    <w:link w:val="23"/>
    <w:uiPriority w:val="30"/>
    <w:qFormat/>
    <w:rsid w:val="00D86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6637"/>
    <w:rPr>
      <w:i/>
      <w:iCs/>
      <w:color w:val="0F4761" w:themeColor="accent1" w:themeShade="BF"/>
    </w:rPr>
  </w:style>
  <w:style w:type="character" w:styleId="24">
    <w:name w:val="Intense Reference"/>
    <w:basedOn w:val="a0"/>
    <w:uiPriority w:val="32"/>
    <w:qFormat/>
    <w:rsid w:val="00D866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57289">
      <w:bodyDiv w:val="1"/>
      <w:marLeft w:val="0"/>
      <w:marRight w:val="0"/>
      <w:marTop w:val="0"/>
      <w:marBottom w:val="0"/>
      <w:divBdr>
        <w:top w:val="none" w:sz="0" w:space="0" w:color="auto"/>
        <w:left w:val="none" w:sz="0" w:space="0" w:color="auto"/>
        <w:bottom w:val="none" w:sz="0" w:space="0" w:color="auto"/>
        <w:right w:val="none" w:sz="0" w:space="0" w:color="auto"/>
      </w:divBdr>
      <w:divsChild>
        <w:div w:id="1338070533">
          <w:marLeft w:val="0"/>
          <w:marRight w:val="0"/>
          <w:marTop w:val="0"/>
          <w:marBottom w:val="0"/>
          <w:divBdr>
            <w:top w:val="none" w:sz="0" w:space="0" w:color="auto"/>
            <w:left w:val="none" w:sz="0" w:space="0" w:color="auto"/>
            <w:bottom w:val="none" w:sz="0" w:space="0" w:color="auto"/>
            <w:right w:val="none" w:sz="0" w:space="0" w:color="auto"/>
          </w:divBdr>
        </w:div>
        <w:div w:id="354383796">
          <w:marLeft w:val="0"/>
          <w:marRight w:val="0"/>
          <w:marTop w:val="0"/>
          <w:marBottom w:val="0"/>
          <w:divBdr>
            <w:top w:val="none" w:sz="0" w:space="0" w:color="auto"/>
            <w:left w:val="none" w:sz="0" w:space="0" w:color="auto"/>
            <w:bottom w:val="none" w:sz="0" w:space="0" w:color="auto"/>
            <w:right w:val="none" w:sz="0" w:space="0" w:color="auto"/>
          </w:divBdr>
        </w:div>
        <w:div w:id="1870100652">
          <w:marLeft w:val="0"/>
          <w:marRight w:val="0"/>
          <w:marTop w:val="0"/>
          <w:marBottom w:val="0"/>
          <w:divBdr>
            <w:top w:val="none" w:sz="0" w:space="0" w:color="auto"/>
            <w:left w:val="none" w:sz="0" w:space="0" w:color="auto"/>
            <w:bottom w:val="none" w:sz="0" w:space="0" w:color="auto"/>
            <w:right w:val="none" w:sz="0" w:space="0" w:color="auto"/>
          </w:divBdr>
        </w:div>
      </w:divsChild>
    </w:div>
    <w:div w:id="360672897">
      <w:bodyDiv w:val="1"/>
      <w:marLeft w:val="0"/>
      <w:marRight w:val="0"/>
      <w:marTop w:val="0"/>
      <w:marBottom w:val="0"/>
      <w:divBdr>
        <w:top w:val="none" w:sz="0" w:space="0" w:color="auto"/>
        <w:left w:val="none" w:sz="0" w:space="0" w:color="auto"/>
        <w:bottom w:val="none" w:sz="0" w:space="0" w:color="auto"/>
        <w:right w:val="none" w:sz="0" w:space="0" w:color="auto"/>
      </w:divBdr>
      <w:divsChild>
        <w:div w:id="41564508">
          <w:marLeft w:val="0"/>
          <w:marRight w:val="0"/>
          <w:marTop w:val="0"/>
          <w:marBottom w:val="0"/>
          <w:divBdr>
            <w:top w:val="none" w:sz="0" w:space="0" w:color="auto"/>
            <w:left w:val="none" w:sz="0" w:space="0" w:color="auto"/>
            <w:bottom w:val="none" w:sz="0" w:space="0" w:color="auto"/>
            <w:right w:val="none" w:sz="0" w:space="0" w:color="auto"/>
          </w:divBdr>
        </w:div>
        <w:div w:id="413018002">
          <w:marLeft w:val="0"/>
          <w:marRight w:val="0"/>
          <w:marTop w:val="0"/>
          <w:marBottom w:val="0"/>
          <w:divBdr>
            <w:top w:val="none" w:sz="0" w:space="0" w:color="auto"/>
            <w:left w:val="none" w:sz="0" w:space="0" w:color="auto"/>
            <w:bottom w:val="none" w:sz="0" w:space="0" w:color="auto"/>
            <w:right w:val="none" w:sz="0" w:space="0" w:color="auto"/>
          </w:divBdr>
        </w:div>
        <w:div w:id="775251642">
          <w:marLeft w:val="0"/>
          <w:marRight w:val="0"/>
          <w:marTop w:val="0"/>
          <w:marBottom w:val="0"/>
          <w:divBdr>
            <w:top w:val="none" w:sz="0" w:space="0" w:color="auto"/>
            <w:left w:val="none" w:sz="0" w:space="0" w:color="auto"/>
            <w:bottom w:val="none" w:sz="0" w:space="0" w:color="auto"/>
            <w:right w:val="none" w:sz="0" w:space="0" w:color="auto"/>
          </w:divBdr>
        </w:div>
      </w:divsChild>
    </w:div>
    <w:div w:id="843130337">
      <w:bodyDiv w:val="1"/>
      <w:marLeft w:val="0"/>
      <w:marRight w:val="0"/>
      <w:marTop w:val="0"/>
      <w:marBottom w:val="0"/>
      <w:divBdr>
        <w:top w:val="none" w:sz="0" w:space="0" w:color="auto"/>
        <w:left w:val="none" w:sz="0" w:space="0" w:color="auto"/>
        <w:bottom w:val="none" w:sz="0" w:space="0" w:color="auto"/>
        <w:right w:val="none" w:sz="0" w:space="0" w:color="auto"/>
      </w:divBdr>
    </w:div>
    <w:div w:id="1064714237">
      <w:bodyDiv w:val="1"/>
      <w:marLeft w:val="0"/>
      <w:marRight w:val="0"/>
      <w:marTop w:val="0"/>
      <w:marBottom w:val="0"/>
      <w:divBdr>
        <w:top w:val="none" w:sz="0" w:space="0" w:color="auto"/>
        <w:left w:val="none" w:sz="0" w:space="0" w:color="auto"/>
        <w:bottom w:val="none" w:sz="0" w:space="0" w:color="auto"/>
        <w:right w:val="none" w:sz="0" w:space="0" w:color="auto"/>
      </w:divBdr>
    </w:div>
    <w:div w:id="1184242739">
      <w:bodyDiv w:val="1"/>
      <w:marLeft w:val="0"/>
      <w:marRight w:val="0"/>
      <w:marTop w:val="0"/>
      <w:marBottom w:val="0"/>
      <w:divBdr>
        <w:top w:val="none" w:sz="0" w:space="0" w:color="auto"/>
        <w:left w:val="none" w:sz="0" w:space="0" w:color="auto"/>
        <w:bottom w:val="none" w:sz="0" w:space="0" w:color="auto"/>
        <w:right w:val="none" w:sz="0" w:space="0" w:color="auto"/>
      </w:divBdr>
    </w:div>
    <w:div w:id="1510023007">
      <w:bodyDiv w:val="1"/>
      <w:marLeft w:val="0"/>
      <w:marRight w:val="0"/>
      <w:marTop w:val="0"/>
      <w:marBottom w:val="0"/>
      <w:divBdr>
        <w:top w:val="none" w:sz="0" w:space="0" w:color="auto"/>
        <w:left w:val="none" w:sz="0" w:space="0" w:color="auto"/>
        <w:bottom w:val="none" w:sz="0" w:space="0" w:color="auto"/>
        <w:right w:val="none" w:sz="0" w:space="0" w:color="auto"/>
      </w:divBdr>
    </w:div>
    <w:div w:id="207107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事務部長 大阪掖済会病院</dc:creator>
  <cp:keywords/>
  <dc:description/>
  <cp:lastModifiedBy>事務部長 大阪掖済会病院</cp:lastModifiedBy>
  <cp:revision>4</cp:revision>
  <dcterms:created xsi:type="dcterms:W3CDTF">2024-07-01T05:34:00Z</dcterms:created>
  <dcterms:modified xsi:type="dcterms:W3CDTF">2024-07-01T06:14:00Z</dcterms:modified>
</cp:coreProperties>
</file>