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C6428" w14:textId="01593BDA" w:rsidR="00574A44" w:rsidRPr="008471E7" w:rsidRDefault="004C55D2" w:rsidP="008471E7">
      <w:pPr>
        <w:jc w:val="center"/>
        <w:rPr>
          <w:rFonts w:ascii="ＭＳ ゴシック" w:eastAsia="ＭＳ ゴシック" w:hAnsi="ＭＳ ゴシック"/>
        </w:rPr>
      </w:pPr>
      <w:r w:rsidRPr="008471E7">
        <w:rPr>
          <w:rFonts w:ascii="ＭＳ ゴシック" w:eastAsia="ＭＳ ゴシック" w:hAnsi="ＭＳ ゴシック" w:hint="eastAsia"/>
        </w:rPr>
        <w:t>生活習慣病管理料置換えシミュレーション仕様書</w:t>
      </w:r>
    </w:p>
    <w:p w14:paraId="5759C654" w14:textId="2A1A5DD5" w:rsidR="00057552" w:rsidRDefault="00057552"/>
    <w:p w14:paraId="508E8719" w14:textId="58F18EAD" w:rsidR="00057552" w:rsidRPr="008471E7" w:rsidRDefault="00F72028">
      <w:pPr>
        <w:rPr>
          <w:rFonts w:ascii="ＭＳ ゴシック" w:eastAsia="ＭＳ ゴシック" w:hAnsi="ＭＳ ゴシック"/>
        </w:rPr>
      </w:pPr>
      <w:bookmarkStart w:id="0" w:name="_Hlk159967432"/>
      <w:r w:rsidRPr="00F72028">
        <w:rPr>
          <w:rFonts w:ascii="ＭＳ ゴシック" w:eastAsia="ＭＳ ゴシック" w:hAnsi="ＭＳ ゴシック" w:hint="eastAsia"/>
        </w:rPr>
        <w:t>生活習慣病を中心とした管理料、処方箋料等の再編</w:t>
      </w:r>
    </w:p>
    <w:bookmarkEnd w:id="0"/>
    <w:p w14:paraId="28BDDD65" w14:textId="60374EA7" w:rsidR="00057552" w:rsidRDefault="004D2952" w:rsidP="004D2952">
      <w:pPr>
        <w:ind w:left="210" w:hangingChars="100" w:hanging="210"/>
      </w:pPr>
      <w:r>
        <w:rPr>
          <w:rFonts w:hint="eastAsia"/>
        </w:rPr>
        <w:t>・</w:t>
      </w:r>
      <w:r w:rsidR="00057552">
        <w:rPr>
          <w:rFonts w:hint="eastAsia"/>
        </w:rPr>
        <w:t>高血圧症、</w:t>
      </w:r>
      <w:r w:rsidR="00F72028">
        <w:rPr>
          <w:rFonts w:hint="eastAsia"/>
        </w:rPr>
        <w:t>脂質異常症、</w:t>
      </w:r>
      <w:r w:rsidR="00057552">
        <w:rPr>
          <w:rFonts w:hint="eastAsia"/>
        </w:rPr>
        <w:t>糖尿病</w:t>
      </w:r>
      <w:r w:rsidR="00F72028">
        <w:rPr>
          <w:rFonts w:hint="eastAsia"/>
        </w:rPr>
        <w:t>が特定疾患療養管理料</w:t>
      </w:r>
      <w:r w:rsidR="001F24FA">
        <w:rPr>
          <w:rFonts w:hint="eastAsia"/>
        </w:rPr>
        <w:t>、特定疾患処方管理加算</w:t>
      </w:r>
      <w:r w:rsidR="00F72028">
        <w:rPr>
          <w:rFonts w:hint="eastAsia"/>
        </w:rPr>
        <w:t>の対象疾病から除かれた</w:t>
      </w:r>
      <w:r w:rsidR="00057552">
        <w:rPr>
          <w:rFonts w:hint="eastAsia"/>
        </w:rPr>
        <w:t>。</w:t>
      </w:r>
    </w:p>
    <w:tbl>
      <w:tblPr>
        <w:tblW w:w="8406" w:type="dxa"/>
        <w:tblInd w:w="99" w:type="dxa"/>
        <w:tblCellMar>
          <w:left w:w="99" w:type="dxa"/>
          <w:right w:w="99" w:type="dxa"/>
        </w:tblCellMar>
        <w:tblLook w:val="04A0" w:firstRow="1" w:lastRow="0" w:firstColumn="1" w:lastColumn="0" w:noHBand="0" w:noVBand="1"/>
      </w:tblPr>
      <w:tblGrid>
        <w:gridCol w:w="1300"/>
        <w:gridCol w:w="5500"/>
        <w:gridCol w:w="566"/>
        <w:gridCol w:w="1040"/>
      </w:tblGrid>
      <w:tr w:rsidR="002C1D94" w:rsidRPr="002C1D94" w14:paraId="40E364A4" w14:textId="77777777" w:rsidTr="00DD75D2">
        <w:trPr>
          <w:trHeight w:val="360"/>
        </w:trPr>
        <w:tc>
          <w:tcPr>
            <w:tcW w:w="1300" w:type="dxa"/>
            <w:tcBorders>
              <w:top w:val="nil"/>
              <w:left w:val="nil"/>
              <w:bottom w:val="nil"/>
              <w:right w:val="nil"/>
            </w:tcBorders>
            <w:shd w:val="clear" w:color="auto" w:fill="auto"/>
            <w:noWrap/>
            <w:vAlign w:val="center"/>
            <w:hideMark/>
          </w:tcPr>
          <w:p w14:paraId="2E30DC1D" w14:textId="77777777" w:rsidR="002C1D94" w:rsidRPr="002C1D94" w:rsidRDefault="002C1D94" w:rsidP="002C1D94">
            <w:pPr>
              <w:widowControl/>
              <w:jc w:val="righ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113001810</w:t>
            </w:r>
          </w:p>
        </w:tc>
        <w:tc>
          <w:tcPr>
            <w:tcW w:w="5500" w:type="dxa"/>
            <w:tcBorders>
              <w:top w:val="nil"/>
              <w:left w:val="nil"/>
              <w:bottom w:val="nil"/>
              <w:right w:val="nil"/>
            </w:tcBorders>
            <w:shd w:val="clear" w:color="auto" w:fill="auto"/>
            <w:noWrap/>
            <w:vAlign w:val="center"/>
            <w:hideMark/>
          </w:tcPr>
          <w:p w14:paraId="23791EC0" w14:textId="77777777" w:rsidR="002C1D94" w:rsidRPr="002C1D94" w:rsidRDefault="002C1D94" w:rsidP="002C1D94">
            <w:pPr>
              <w:widowControl/>
              <w:jc w:val="lef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特定疾患療養管理料（診療所）</w:t>
            </w:r>
          </w:p>
        </w:tc>
        <w:tc>
          <w:tcPr>
            <w:tcW w:w="566" w:type="dxa"/>
            <w:tcBorders>
              <w:top w:val="nil"/>
              <w:left w:val="nil"/>
              <w:bottom w:val="nil"/>
              <w:right w:val="nil"/>
            </w:tcBorders>
            <w:shd w:val="clear" w:color="auto" w:fill="auto"/>
            <w:noWrap/>
            <w:vAlign w:val="center"/>
            <w:hideMark/>
          </w:tcPr>
          <w:p w14:paraId="789D79E6" w14:textId="77777777" w:rsidR="002C1D94" w:rsidRPr="002C1D94" w:rsidRDefault="002C1D94" w:rsidP="002C1D94">
            <w:pPr>
              <w:widowControl/>
              <w:jc w:val="righ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225</w:t>
            </w:r>
          </w:p>
        </w:tc>
        <w:tc>
          <w:tcPr>
            <w:tcW w:w="1040" w:type="dxa"/>
            <w:tcBorders>
              <w:top w:val="nil"/>
              <w:left w:val="nil"/>
              <w:bottom w:val="nil"/>
              <w:right w:val="nil"/>
            </w:tcBorders>
            <w:shd w:val="clear" w:color="auto" w:fill="auto"/>
            <w:noWrap/>
            <w:vAlign w:val="center"/>
            <w:hideMark/>
          </w:tcPr>
          <w:p w14:paraId="4C5A57B4" w14:textId="77777777" w:rsidR="002C1D94" w:rsidRPr="002C1D94" w:rsidRDefault="002C1D94" w:rsidP="002C1D94">
            <w:pPr>
              <w:widowControl/>
              <w:jc w:val="lef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点</w:t>
            </w:r>
          </w:p>
        </w:tc>
      </w:tr>
      <w:tr w:rsidR="002C1D94" w:rsidRPr="002C1D94" w14:paraId="171E2B5E" w14:textId="77777777" w:rsidTr="00DD75D2">
        <w:trPr>
          <w:trHeight w:val="360"/>
        </w:trPr>
        <w:tc>
          <w:tcPr>
            <w:tcW w:w="1300" w:type="dxa"/>
            <w:tcBorders>
              <w:top w:val="nil"/>
              <w:left w:val="nil"/>
              <w:bottom w:val="nil"/>
              <w:right w:val="nil"/>
            </w:tcBorders>
            <w:shd w:val="clear" w:color="auto" w:fill="auto"/>
            <w:noWrap/>
            <w:vAlign w:val="center"/>
            <w:hideMark/>
          </w:tcPr>
          <w:p w14:paraId="6E98AFA8" w14:textId="77777777" w:rsidR="002C1D94" w:rsidRPr="002C1D94" w:rsidRDefault="002C1D94" w:rsidP="002C1D94">
            <w:pPr>
              <w:widowControl/>
              <w:jc w:val="righ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113001910</w:t>
            </w:r>
          </w:p>
        </w:tc>
        <w:tc>
          <w:tcPr>
            <w:tcW w:w="5500" w:type="dxa"/>
            <w:tcBorders>
              <w:top w:val="nil"/>
              <w:left w:val="nil"/>
              <w:bottom w:val="nil"/>
              <w:right w:val="nil"/>
            </w:tcBorders>
            <w:shd w:val="clear" w:color="auto" w:fill="auto"/>
            <w:noWrap/>
            <w:vAlign w:val="center"/>
            <w:hideMark/>
          </w:tcPr>
          <w:p w14:paraId="7297B631" w14:textId="77777777" w:rsidR="002C1D94" w:rsidRPr="002C1D94" w:rsidRDefault="002C1D94" w:rsidP="002C1D94">
            <w:pPr>
              <w:widowControl/>
              <w:jc w:val="lef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特定疾患療養管理料（１００床未満）</w:t>
            </w:r>
          </w:p>
        </w:tc>
        <w:tc>
          <w:tcPr>
            <w:tcW w:w="566" w:type="dxa"/>
            <w:tcBorders>
              <w:top w:val="nil"/>
              <w:left w:val="nil"/>
              <w:bottom w:val="nil"/>
              <w:right w:val="nil"/>
            </w:tcBorders>
            <w:shd w:val="clear" w:color="auto" w:fill="auto"/>
            <w:noWrap/>
            <w:vAlign w:val="center"/>
            <w:hideMark/>
          </w:tcPr>
          <w:p w14:paraId="413560E0" w14:textId="77777777" w:rsidR="002C1D94" w:rsidRPr="002C1D94" w:rsidRDefault="002C1D94" w:rsidP="002C1D94">
            <w:pPr>
              <w:widowControl/>
              <w:jc w:val="righ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147</w:t>
            </w:r>
          </w:p>
        </w:tc>
        <w:tc>
          <w:tcPr>
            <w:tcW w:w="1040" w:type="dxa"/>
            <w:tcBorders>
              <w:top w:val="nil"/>
              <w:left w:val="nil"/>
              <w:bottom w:val="nil"/>
              <w:right w:val="nil"/>
            </w:tcBorders>
            <w:shd w:val="clear" w:color="auto" w:fill="auto"/>
            <w:noWrap/>
            <w:vAlign w:val="center"/>
            <w:hideMark/>
          </w:tcPr>
          <w:p w14:paraId="37D23A95" w14:textId="77777777" w:rsidR="002C1D94" w:rsidRPr="002C1D94" w:rsidRDefault="002C1D94" w:rsidP="002C1D94">
            <w:pPr>
              <w:widowControl/>
              <w:jc w:val="lef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点</w:t>
            </w:r>
          </w:p>
        </w:tc>
      </w:tr>
      <w:tr w:rsidR="002C1D94" w:rsidRPr="002C1D94" w14:paraId="049D21FC" w14:textId="77777777" w:rsidTr="00DD75D2">
        <w:trPr>
          <w:trHeight w:val="360"/>
        </w:trPr>
        <w:tc>
          <w:tcPr>
            <w:tcW w:w="1300" w:type="dxa"/>
            <w:tcBorders>
              <w:top w:val="nil"/>
              <w:left w:val="nil"/>
              <w:bottom w:val="nil"/>
              <w:right w:val="nil"/>
            </w:tcBorders>
            <w:shd w:val="clear" w:color="auto" w:fill="auto"/>
            <w:noWrap/>
            <w:vAlign w:val="center"/>
            <w:hideMark/>
          </w:tcPr>
          <w:p w14:paraId="7B726254" w14:textId="77777777" w:rsidR="002C1D94" w:rsidRPr="002C1D94" w:rsidRDefault="002C1D94" w:rsidP="002C1D94">
            <w:pPr>
              <w:widowControl/>
              <w:jc w:val="righ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113002010</w:t>
            </w:r>
          </w:p>
        </w:tc>
        <w:tc>
          <w:tcPr>
            <w:tcW w:w="5500" w:type="dxa"/>
            <w:tcBorders>
              <w:top w:val="nil"/>
              <w:left w:val="nil"/>
              <w:bottom w:val="nil"/>
              <w:right w:val="nil"/>
            </w:tcBorders>
            <w:shd w:val="clear" w:color="auto" w:fill="auto"/>
            <w:noWrap/>
            <w:vAlign w:val="center"/>
            <w:hideMark/>
          </w:tcPr>
          <w:p w14:paraId="6E331EA8" w14:textId="77777777" w:rsidR="002C1D94" w:rsidRPr="002C1D94" w:rsidRDefault="002C1D94" w:rsidP="002C1D94">
            <w:pPr>
              <w:widowControl/>
              <w:jc w:val="lef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特定疾患療養管理料（１００床以上２００床未満）</w:t>
            </w:r>
          </w:p>
        </w:tc>
        <w:tc>
          <w:tcPr>
            <w:tcW w:w="566" w:type="dxa"/>
            <w:tcBorders>
              <w:top w:val="nil"/>
              <w:left w:val="nil"/>
              <w:bottom w:val="nil"/>
              <w:right w:val="nil"/>
            </w:tcBorders>
            <w:shd w:val="clear" w:color="auto" w:fill="auto"/>
            <w:noWrap/>
            <w:vAlign w:val="center"/>
            <w:hideMark/>
          </w:tcPr>
          <w:p w14:paraId="3A2C13D5" w14:textId="77777777" w:rsidR="002C1D94" w:rsidRPr="002C1D94" w:rsidRDefault="002C1D94" w:rsidP="002C1D94">
            <w:pPr>
              <w:widowControl/>
              <w:jc w:val="righ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87</w:t>
            </w:r>
          </w:p>
        </w:tc>
        <w:tc>
          <w:tcPr>
            <w:tcW w:w="1040" w:type="dxa"/>
            <w:tcBorders>
              <w:top w:val="nil"/>
              <w:left w:val="nil"/>
              <w:bottom w:val="nil"/>
              <w:right w:val="nil"/>
            </w:tcBorders>
            <w:shd w:val="clear" w:color="auto" w:fill="auto"/>
            <w:noWrap/>
            <w:vAlign w:val="center"/>
            <w:hideMark/>
          </w:tcPr>
          <w:p w14:paraId="4801B582" w14:textId="77777777" w:rsidR="002C1D94" w:rsidRPr="002C1D94" w:rsidRDefault="002C1D94" w:rsidP="002C1D94">
            <w:pPr>
              <w:widowControl/>
              <w:jc w:val="left"/>
              <w:rPr>
                <w:rFonts w:ascii="游ゴシック" w:eastAsia="游ゴシック" w:hAnsi="游ゴシック" w:cs="ＭＳ Ｐゴシック"/>
                <w:color w:val="000000"/>
                <w:kern w:val="0"/>
                <w:sz w:val="22"/>
              </w:rPr>
            </w:pPr>
            <w:r w:rsidRPr="002C1D94">
              <w:rPr>
                <w:rFonts w:ascii="游ゴシック" w:eastAsia="游ゴシック" w:hAnsi="游ゴシック" w:cs="ＭＳ Ｐゴシック" w:hint="eastAsia"/>
                <w:color w:val="000000"/>
                <w:kern w:val="0"/>
                <w:sz w:val="22"/>
              </w:rPr>
              <w:t>点</w:t>
            </w:r>
          </w:p>
        </w:tc>
      </w:tr>
      <w:tr w:rsidR="00DD75D2" w:rsidRPr="00DD75D2" w14:paraId="68797514" w14:textId="77777777" w:rsidTr="00DD75D2">
        <w:trPr>
          <w:trHeight w:val="360"/>
        </w:trPr>
        <w:tc>
          <w:tcPr>
            <w:tcW w:w="1300" w:type="dxa"/>
            <w:tcBorders>
              <w:top w:val="nil"/>
              <w:left w:val="nil"/>
              <w:bottom w:val="nil"/>
              <w:right w:val="nil"/>
            </w:tcBorders>
            <w:shd w:val="clear" w:color="auto" w:fill="auto"/>
            <w:noWrap/>
            <w:vAlign w:val="center"/>
            <w:hideMark/>
          </w:tcPr>
          <w:p w14:paraId="743F7074"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120002270</w:t>
            </w:r>
          </w:p>
        </w:tc>
        <w:tc>
          <w:tcPr>
            <w:tcW w:w="5500" w:type="dxa"/>
            <w:tcBorders>
              <w:top w:val="nil"/>
              <w:left w:val="nil"/>
              <w:bottom w:val="nil"/>
              <w:right w:val="nil"/>
            </w:tcBorders>
            <w:shd w:val="clear" w:color="auto" w:fill="auto"/>
            <w:noWrap/>
            <w:vAlign w:val="center"/>
            <w:hideMark/>
          </w:tcPr>
          <w:p w14:paraId="40CA19B0"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特定疾患処方管理加算１（処方料）</w:t>
            </w:r>
          </w:p>
        </w:tc>
        <w:tc>
          <w:tcPr>
            <w:tcW w:w="566" w:type="dxa"/>
            <w:tcBorders>
              <w:top w:val="nil"/>
              <w:left w:val="nil"/>
              <w:bottom w:val="nil"/>
              <w:right w:val="nil"/>
            </w:tcBorders>
            <w:shd w:val="clear" w:color="auto" w:fill="auto"/>
            <w:noWrap/>
            <w:vAlign w:val="center"/>
            <w:hideMark/>
          </w:tcPr>
          <w:p w14:paraId="24483F0B"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18</w:t>
            </w:r>
          </w:p>
        </w:tc>
        <w:tc>
          <w:tcPr>
            <w:tcW w:w="1040" w:type="dxa"/>
            <w:tcBorders>
              <w:top w:val="nil"/>
              <w:left w:val="nil"/>
              <w:bottom w:val="nil"/>
              <w:right w:val="nil"/>
            </w:tcBorders>
            <w:shd w:val="clear" w:color="auto" w:fill="auto"/>
            <w:noWrap/>
            <w:vAlign w:val="center"/>
            <w:hideMark/>
          </w:tcPr>
          <w:p w14:paraId="02A75521"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点</w:t>
            </w:r>
          </w:p>
        </w:tc>
      </w:tr>
      <w:tr w:rsidR="00DD75D2" w:rsidRPr="00DD75D2" w14:paraId="48566121" w14:textId="77777777" w:rsidTr="00DD75D2">
        <w:trPr>
          <w:trHeight w:val="360"/>
        </w:trPr>
        <w:tc>
          <w:tcPr>
            <w:tcW w:w="1300" w:type="dxa"/>
            <w:tcBorders>
              <w:top w:val="nil"/>
              <w:left w:val="nil"/>
              <w:bottom w:val="nil"/>
              <w:right w:val="nil"/>
            </w:tcBorders>
            <w:shd w:val="clear" w:color="auto" w:fill="auto"/>
            <w:noWrap/>
            <w:vAlign w:val="center"/>
            <w:hideMark/>
          </w:tcPr>
          <w:p w14:paraId="168D72E9"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120002570</w:t>
            </w:r>
          </w:p>
        </w:tc>
        <w:tc>
          <w:tcPr>
            <w:tcW w:w="5500" w:type="dxa"/>
            <w:tcBorders>
              <w:top w:val="nil"/>
              <w:left w:val="nil"/>
              <w:bottom w:val="nil"/>
              <w:right w:val="nil"/>
            </w:tcBorders>
            <w:shd w:val="clear" w:color="auto" w:fill="auto"/>
            <w:noWrap/>
            <w:vAlign w:val="center"/>
            <w:hideMark/>
          </w:tcPr>
          <w:p w14:paraId="4B7E1BAD"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特定疾患処方管理加算１（処方箋料）</w:t>
            </w:r>
          </w:p>
        </w:tc>
        <w:tc>
          <w:tcPr>
            <w:tcW w:w="566" w:type="dxa"/>
            <w:tcBorders>
              <w:top w:val="nil"/>
              <w:left w:val="nil"/>
              <w:bottom w:val="nil"/>
              <w:right w:val="nil"/>
            </w:tcBorders>
            <w:shd w:val="clear" w:color="auto" w:fill="auto"/>
            <w:noWrap/>
            <w:vAlign w:val="center"/>
            <w:hideMark/>
          </w:tcPr>
          <w:p w14:paraId="3FF89D2E"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18</w:t>
            </w:r>
          </w:p>
        </w:tc>
        <w:tc>
          <w:tcPr>
            <w:tcW w:w="1040" w:type="dxa"/>
            <w:tcBorders>
              <w:top w:val="nil"/>
              <w:left w:val="nil"/>
              <w:bottom w:val="nil"/>
              <w:right w:val="nil"/>
            </w:tcBorders>
            <w:shd w:val="clear" w:color="auto" w:fill="auto"/>
            <w:noWrap/>
            <w:vAlign w:val="center"/>
            <w:hideMark/>
          </w:tcPr>
          <w:p w14:paraId="3FB2C5AD"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点</w:t>
            </w:r>
          </w:p>
        </w:tc>
      </w:tr>
      <w:tr w:rsidR="00DD75D2" w:rsidRPr="00DD75D2" w14:paraId="29A56829" w14:textId="77777777" w:rsidTr="00DD75D2">
        <w:trPr>
          <w:trHeight w:val="360"/>
        </w:trPr>
        <w:tc>
          <w:tcPr>
            <w:tcW w:w="1300" w:type="dxa"/>
            <w:tcBorders>
              <w:top w:val="nil"/>
              <w:left w:val="nil"/>
              <w:bottom w:val="nil"/>
              <w:right w:val="nil"/>
            </w:tcBorders>
            <w:shd w:val="clear" w:color="auto" w:fill="auto"/>
            <w:noWrap/>
            <w:vAlign w:val="center"/>
            <w:hideMark/>
          </w:tcPr>
          <w:p w14:paraId="34D8FC51"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120003170</w:t>
            </w:r>
          </w:p>
        </w:tc>
        <w:tc>
          <w:tcPr>
            <w:tcW w:w="5500" w:type="dxa"/>
            <w:tcBorders>
              <w:top w:val="nil"/>
              <w:left w:val="nil"/>
              <w:bottom w:val="nil"/>
              <w:right w:val="nil"/>
            </w:tcBorders>
            <w:shd w:val="clear" w:color="auto" w:fill="auto"/>
            <w:noWrap/>
            <w:vAlign w:val="center"/>
            <w:hideMark/>
          </w:tcPr>
          <w:p w14:paraId="0354744A"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特定疾患処方管理加算２（処方料）</w:t>
            </w:r>
          </w:p>
        </w:tc>
        <w:tc>
          <w:tcPr>
            <w:tcW w:w="566" w:type="dxa"/>
            <w:tcBorders>
              <w:top w:val="nil"/>
              <w:left w:val="nil"/>
              <w:bottom w:val="nil"/>
              <w:right w:val="nil"/>
            </w:tcBorders>
            <w:shd w:val="clear" w:color="auto" w:fill="auto"/>
            <w:noWrap/>
            <w:vAlign w:val="center"/>
            <w:hideMark/>
          </w:tcPr>
          <w:p w14:paraId="59FDEB96"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66</w:t>
            </w:r>
          </w:p>
        </w:tc>
        <w:tc>
          <w:tcPr>
            <w:tcW w:w="1040" w:type="dxa"/>
            <w:tcBorders>
              <w:top w:val="nil"/>
              <w:left w:val="nil"/>
              <w:bottom w:val="nil"/>
              <w:right w:val="nil"/>
            </w:tcBorders>
            <w:shd w:val="clear" w:color="auto" w:fill="auto"/>
            <w:noWrap/>
            <w:vAlign w:val="center"/>
            <w:hideMark/>
          </w:tcPr>
          <w:p w14:paraId="7D43B5E1"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点</w:t>
            </w:r>
          </w:p>
        </w:tc>
      </w:tr>
      <w:tr w:rsidR="00DD75D2" w:rsidRPr="00DD75D2" w14:paraId="02523473" w14:textId="77777777" w:rsidTr="00DD75D2">
        <w:trPr>
          <w:trHeight w:val="360"/>
        </w:trPr>
        <w:tc>
          <w:tcPr>
            <w:tcW w:w="1300" w:type="dxa"/>
            <w:tcBorders>
              <w:top w:val="nil"/>
              <w:left w:val="nil"/>
              <w:bottom w:val="nil"/>
              <w:right w:val="nil"/>
            </w:tcBorders>
            <w:shd w:val="clear" w:color="auto" w:fill="auto"/>
            <w:noWrap/>
            <w:vAlign w:val="center"/>
            <w:hideMark/>
          </w:tcPr>
          <w:p w14:paraId="4999A444"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120003270</w:t>
            </w:r>
          </w:p>
        </w:tc>
        <w:tc>
          <w:tcPr>
            <w:tcW w:w="5500" w:type="dxa"/>
            <w:tcBorders>
              <w:top w:val="nil"/>
              <w:left w:val="nil"/>
              <w:bottom w:val="nil"/>
              <w:right w:val="nil"/>
            </w:tcBorders>
            <w:shd w:val="clear" w:color="auto" w:fill="auto"/>
            <w:noWrap/>
            <w:vAlign w:val="center"/>
            <w:hideMark/>
          </w:tcPr>
          <w:p w14:paraId="263FA776"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特定疾患処方管理加算２（処方箋料）</w:t>
            </w:r>
          </w:p>
        </w:tc>
        <w:tc>
          <w:tcPr>
            <w:tcW w:w="566" w:type="dxa"/>
            <w:tcBorders>
              <w:top w:val="nil"/>
              <w:left w:val="nil"/>
              <w:bottom w:val="nil"/>
              <w:right w:val="nil"/>
            </w:tcBorders>
            <w:shd w:val="clear" w:color="auto" w:fill="auto"/>
            <w:noWrap/>
            <w:vAlign w:val="center"/>
            <w:hideMark/>
          </w:tcPr>
          <w:p w14:paraId="73081CC6" w14:textId="77777777" w:rsidR="00DD75D2" w:rsidRPr="00DD75D2" w:rsidRDefault="00DD75D2" w:rsidP="00DD75D2">
            <w:pPr>
              <w:widowControl/>
              <w:jc w:val="righ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66</w:t>
            </w:r>
          </w:p>
        </w:tc>
        <w:tc>
          <w:tcPr>
            <w:tcW w:w="1040" w:type="dxa"/>
            <w:tcBorders>
              <w:top w:val="nil"/>
              <w:left w:val="nil"/>
              <w:bottom w:val="nil"/>
              <w:right w:val="nil"/>
            </w:tcBorders>
            <w:shd w:val="clear" w:color="auto" w:fill="auto"/>
            <w:noWrap/>
            <w:vAlign w:val="center"/>
            <w:hideMark/>
          </w:tcPr>
          <w:p w14:paraId="1944E001" w14:textId="77777777" w:rsidR="00DD75D2" w:rsidRPr="00DD75D2" w:rsidRDefault="00DD75D2" w:rsidP="00DD75D2">
            <w:pPr>
              <w:widowControl/>
              <w:jc w:val="left"/>
              <w:rPr>
                <w:rFonts w:ascii="游ゴシック" w:eastAsia="游ゴシック" w:hAnsi="游ゴシック" w:cs="ＭＳ Ｐゴシック"/>
                <w:color w:val="000000"/>
                <w:kern w:val="0"/>
                <w:sz w:val="22"/>
              </w:rPr>
            </w:pPr>
            <w:r w:rsidRPr="00DD75D2">
              <w:rPr>
                <w:rFonts w:ascii="游ゴシック" w:eastAsia="游ゴシック" w:hAnsi="游ゴシック" w:cs="ＭＳ Ｐゴシック" w:hint="eastAsia"/>
                <w:color w:val="000000"/>
                <w:kern w:val="0"/>
                <w:sz w:val="22"/>
              </w:rPr>
              <w:t>点</w:t>
            </w:r>
          </w:p>
        </w:tc>
      </w:tr>
    </w:tbl>
    <w:p w14:paraId="3A2640F2" w14:textId="77777777" w:rsidR="009B66E7" w:rsidRDefault="009B66E7" w:rsidP="00863384">
      <w:pPr>
        <w:ind w:left="210" w:hangingChars="100" w:hanging="210"/>
      </w:pPr>
    </w:p>
    <w:p w14:paraId="03B4A7ED" w14:textId="464AAEF1" w:rsidR="00863384" w:rsidRDefault="004D2952" w:rsidP="00863384">
      <w:pPr>
        <w:ind w:left="210" w:hangingChars="100" w:hanging="210"/>
      </w:pPr>
      <w:r>
        <w:rPr>
          <w:rFonts w:hint="eastAsia"/>
        </w:rPr>
        <w:t>・</w:t>
      </w:r>
      <w:r w:rsidR="00F72028">
        <w:rPr>
          <w:rFonts w:hint="eastAsia"/>
        </w:rPr>
        <w:t>生活習慣病管理料が生活習慣病管理料（Ⅰ）と生活習慣病管理料（Ⅱ）に再編された</w:t>
      </w:r>
      <w:r>
        <w:rPr>
          <w:rFonts w:hint="eastAsia"/>
        </w:rPr>
        <w:t>。</w:t>
      </w:r>
    </w:p>
    <w:tbl>
      <w:tblPr>
        <w:tblW w:w="7100" w:type="dxa"/>
        <w:tblInd w:w="99" w:type="dxa"/>
        <w:tblCellMar>
          <w:left w:w="99" w:type="dxa"/>
          <w:right w:w="99" w:type="dxa"/>
        </w:tblCellMar>
        <w:tblLook w:val="04A0" w:firstRow="1" w:lastRow="0" w:firstColumn="1" w:lastColumn="0" w:noHBand="0" w:noVBand="1"/>
      </w:tblPr>
      <w:tblGrid>
        <w:gridCol w:w="1300"/>
        <w:gridCol w:w="5020"/>
        <w:gridCol w:w="566"/>
        <w:gridCol w:w="418"/>
      </w:tblGrid>
      <w:tr w:rsidR="00A1117C" w:rsidRPr="00A1117C" w14:paraId="0CA5AF6E" w14:textId="77777777" w:rsidTr="00A1117C">
        <w:trPr>
          <w:trHeight w:val="360"/>
        </w:trPr>
        <w:tc>
          <w:tcPr>
            <w:tcW w:w="1220" w:type="dxa"/>
            <w:tcBorders>
              <w:top w:val="nil"/>
              <w:left w:val="nil"/>
              <w:bottom w:val="nil"/>
              <w:right w:val="nil"/>
            </w:tcBorders>
            <w:shd w:val="clear" w:color="auto" w:fill="auto"/>
            <w:noWrap/>
            <w:vAlign w:val="center"/>
            <w:hideMark/>
          </w:tcPr>
          <w:p w14:paraId="0670C391"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113041710</w:t>
            </w:r>
          </w:p>
        </w:tc>
        <w:tc>
          <w:tcPr>
            <w:tcW w:w="5020" w:type="dxa"/>
            <w:tcBorders>
              <w:top w:val="nil"/>
              <w:left w:val="nil"/>
              <w:bottom w:val="nil"/>
              <w:right w:val="nil"/>
            </w:tcBorders>
            <w:shd w:val="clear" w:color="auto" w:fill="auto"/>
            <w:noWrap/>
            <w:vAlign w:val="center"/>
            <w:hideMark/>
          </w:tcPr>
          <w:p w14:paraId="2F0B51BE"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生活習慣病管理料（脂質異常症を主病）</w:t>
            </w:r>
          </w:p>
        </w:tc>
        <w:tc>
          <w:tcPr>
            <w:tcW w:w="500" w:type="dxa"/>
            <w:tcBorders>
              <w:top w:val="nil"/>
              <w:left w:val="nil"/>
              <w:bottom w:val="nil"/>
              <w:right w:val="nil"/>
            </w:tcBorders>
            <w:shd w:val="clear" w:color="auto" w:fill="auto"/>
            <w:noWrap/>
            <w:vAlign w:val="center"/>
            <w:hideMark/>
          </w:tcPr>
          <w:p w14:paraId="604BA51D"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570</w:t>
            </w:r>
          </w:p>
        </w:tc>
        <w:tc>
          <w:tcPr>
            <w:tcW w:w="360" w:type="dxa"/>
            <w:tcBorders>
              <w:top w:val="nil"/>
              <w:left w:val="nil"/>
              <w:bottom w:val="nil"/>
              <w:right w:val="nil"/>
            </w:tcBorders>
            <w:shd w:val="clear" w:color="auto" w:fill="auto"/>
            <w:noWrap/>
            <w:vAlign w:val="center"/>
            <w:hideMark/>
          </w:tcPr>
          <w:p w14:paraId="510A2120"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r w:rsidR="00A1117C" w:rsidRPr="00A1117C" w14:paraId="46FFF7FD" w14:textId="77777777" w:rsidTr="00A1117C">
        <w:trPr>
          <w:trHeight w:val="360"/>
        </w:trPr>
        <w:tc>
          <w:tcPr>
            <w:tcW w:w="1220" w:type="dxa"/>
            <w:tcBorders>
              <w:top w:val="nil"/>
              <w:left w:val="nil"/>
              <w:bottom w:val="nil"/>
              <w:right w:val="nil"/>
            </w:tcBorders>
            <w:shd w:val="clear" w:color="auto" w:fill="auto"/>
            <w:noWrap/>
            <w:vAlign w:val="center"/>
            <w:hideMark/>
          </w:tcPr>
          <w:p w14:paraId="4B47CA87"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113041810</w:t>
            </w:r>
          </w:p>
        </w:tc>
        <w:tc>
          <w:tcPr>
            <w:tcW w:w="5020" w:type="dxa"/>
            <w:tcBorders>
              <w:top w:val="nil"/>
              <w:left w:val="nil"/>
              <w:bottom w:val="nil"/>
              <w:right w:val="nil"/>
            </w:tcBorders>
            <w:shd w:val="clear" w:color="auto" w:fill="auto"/>
            <w:noWrap/>
            <w:vAlign w:val="center"/>
            <w:hideMark/>
          </w:tcPr>
          <w:p w14:paraId="1C318665"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生活習慣病管理料（高血圧症を主病）</w:t>
            </w:r>
          </w:p>
        </w:tc>
        <w:tc>
          <w:tcPr>
            <w:tcW w:w="500" w:type="dxa"/>
            <w:tcBorders>
              <w:top w:val="nil"/>
              <w:left w:val="nil"/>
              <w:bottom w:val="nil"/>
              <w:right w:val="nil"/>
            </w:tcBorders>
            <w:shd w:val="clear" w:color="auto" w:fill="auto"/>
            <w:noWrap/>
            <w:vAlign w:val="center"/>
            <w:hideMark/>
          </w:tcPr>
          <w:p w14:paraId="32FD9301"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620</w:t>
            </w:r>
          </w:p>
        </w:tc>
        <w:tc>
          <w:tcPr>
            <w:tcW w:w="360" w:type="dxa"/>
            <w:tcBorders>
              <w:top w:val="nil"/>
              <w:left w:val="nil"/>
              <w:bottom w:val="nil"/>
              <w:right w:val="nil"/>
            </w:tcBorders>
            <w:shd w:val="clear" w:color="auto" w:fill="auto"/>
            <w:noWrap/>
            <w:vAlign w:val="center"/>
            <w:hideMark/>
          </w:tcPr>
          <w:p w14:paraId="44FD5DB0"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r w:rsidR="00A1117C" w:rsidRPr="00A1117C" w14:paraId="4B2508C8" w14:textId="77777777" w:rsidTr="00A1117C">
        <w:trPr>
          <w:trHeight w:val="360"/>
        </w:trPr>
        <w:tc>
          <w:tcPr>
            <w:tcW w:w="1220" w:type="dxa"/>
            <w:tcBorders>
              <w:top w:val="nil"/>
              <w:left w:val="nil"/>
              <w:bottom w:val="nil"/>
              <w:right w:val="nil"/>
            </w:tcBorders>
            <w:shd w:val="clear" w:color="auto" w:fill="auto"/>
            <w:noWrap/>
            <w:vAlign w:val="center"/>
            <w:hideMark/>
          </w:tcPr>
          <w:p w14:paraId="64D97096"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113041910</w:t>
            </w:r>
          </w:p>
        </w:tc>
        <w:tc>
          <w:tcPr>
            <w:tcW w:w="5020" w:type="dxa"/>
            <w:tcBorders>
              <w:top w:val="nil"/>
              <w:left w:val="nil"/>
              <w:bottom w:val="nil"/>
              <w:right w:val="nil"/>
            </w:tcBorders>
            <w:shd w:val="clear" w:color="auto" w:fill="auto"/>
            <w:noWrap/>
            <w:vAlign w:val="center"/>
            <w:hideMark/>
          </w:tcPr>
          <w:p w14:paraId="04C115DE"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生活習慣病管理料（糖尿病を主病）</w:t>
            </w:r>
          </w:p>
        </w:tc>
        <w:tc>
          <w:tcPr>
            <w:tcW w:w="500" w:type="dxa"/>
            <w:tcBorders>
              <w:top w:val="nil"/>
              <w:left w:val="nil"/>
              <w:bottom w:val="nil"/>
              <w:right w:val="nil"/>
            </w:tcBorders>
            <w:shd w:val="clear" w:color="auto" w:fill="auto"/>
            <w:noWrap/>
            <w:vAlign w:val="center"/>
            <w:hideMark/>
          </w:tcPr>
          <w:p w14:paraId="7E70A449"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720</w:t>
            </w:r>
          </w:p>
        </w:tc>
        <w:tc>
          <w:tcPr>
            <w:tcW w:w="360" w:type="dxa"/>
            <w:tcBorders>
              <w:top w:val="nil"/>
              <w:left w:val="nil"/>
              <w:bottom w:val="nil"/>
              <w:right w:val="nil"/>
            </w:tcBorders>
            <w:shd w:val="clear" w:color="auto" w:fill="auto"/>
            <w:noWrap/>
            <w:vAlign w:val="center"/>
            <w:hideMark/>
          </w:tcPr>
          <w:p w14:paraId="425B7F07"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r w:rsidR="00A1117C" w:rsidRPr="00A1117C" w14:paraId="20F3858F" w14:textId="77777777" w:rsidTr="00A1117C">
        <w:trPr>
          <w:trHeight w:val="360"/>
        </w:trPr>
        <w:tc>
          <w:tcPr>
            <w:tcW w:w="1220" w:type="dxa"/>
            <w:tcBorders>
              <w:top w:val="nil"/>
              <w:left w:val="nil"/>
              <w:bottom w:val="nil"/>
              <w:right w:val="nil"/>
            </w:tcBorders>
            <w:shd w:val="clear" w:color="auto" w:fill="auto"/>
            <w:noWrap/>
            <w:vAlign w:val="center"/>
            <w:hideMark/>
          </w:tcPr>
          <w:p w14:paraId="66CEC74E"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p>
        </w:tc>
        <w:tc>
          <w:tcPr>
            <w:tcW w:w="5020" w:type="dxa"/>
            <w:tcBorders>
              <w:top w:val="nil"/>
              <w:left w:val="nil"/>
              <w:bottom w:val="nil"/>
              <w:right w:val="nil"/>
            </w:tcBorders>
            <w:shd w:val="clear" w:color="auto" w:fill="auto"/>
            <w:noWrap/>
            <w:vAlign w:val="center"/>
            <w:hideMark/>
          </w:tcPr>
          <w:p w14:paraId="25C0F5B2" w14:textId="77777777" w:rsidR="00A1117C" w:rsidRPr="00A1117C" w:rsidRDefault="00A1117C" w:rsidP="00A1117C">
            <w:pPr>
              <w:widowControl/>
              <w:jc w:val="left"/>
              <w:rPr>
                <w:rFonts w:ascii="Times New Roman" w:eastAsia="Times New Roman" w:hAnsi="Times New Roman" w:cs="Times New Roman"/>
                <w:kern w:val="0"/>
                <w:sz w:val="20"/>
                <w:szCs w:val="20"/>
              </w:rPr>
            </w:pPr>
          </w:p>
        </w:tc>
        <w:tc>
          <w:tcPr>
            <w:tcW w:w="500" w:type="dxa"/>
            <w:tcBorders>
              <w:top w:val="nil"/>
              <w:left w:val="nil"/>
              <w:bottom w:val="nil"/>
              <w:right w:val="nil"/>
            </w:tcBorders>
            <w:shd w:val="clear" w:color="auto" w:fill="auto"/>
            <w:noWrap/>
            <w:vAlign w:val="center"/>
            <w:hideMark/>
          </w:tcPr>
          <w:p w14:paraId="769E78E4" w14:textId="77777777" w:rsidR="00A1117C" w:rsidRPr="00A1117C" w:rsidRDefault="00A1117C" w:rsidP="00A1117C">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14:paraId="3890AAC1" w14:textId="77777777" w:rsidR="00A1117C" w:rsidRPr="00A1117C" w:rsidRDefault="00A1117C" w:rsidP="00A1117C">
            <w:pPr>
              <w:widowControl/>
              <w:jc w:val="left"/>
              <w:rPr>
                <w:rFonts w:ascii="Times New Roman" w:eastAsia="Times New Roman" w:hAnsi="Times New Roman" w:cs="Times New Roman"/>
                <w:kern w:val="0"/>
                <w:sz w:val="20"/>
                <w:szCs w:val="20"/>
              </w:rPr>
            </w:pPr>
          </w:p>
        </w:tc>
      </w:tr>
      <w:tr w:rsidR="00A1117C" w:rsidRPr="00A1117C" w14:paraId="05B7A4E5" w14:textId="77777777" w:rsidTr="00A1117C">
        <w:trPr>
          <w:trHeight w:val="360"/>
        </w:trPr>
        <w:tc>
          <w:tcPr>
            <w:tcW w:w="1220" w:type="dxa"/>
            <w:tcBorders>
              <w:top w:val="nil"/>
              <w:left w:val="nil"/>
              <w:bottom w:val="nil"/>
              <w:right w:val="nil"/>
            </w:tcBorders>
            <w:shd w:val="clear" w:color="auto" w:fill="auto"/>
            <w:noWrap/>
            <w:vAlign w:val="center"/>
            <w:hideMark/>
          </w:tcPr>
          <w:p w14:paraId="39577174" w14:textId="41BEE40C" w:rsidR="00A1117C" w:rsidRPr="00946768" w:rsidRDefault="00946768" w:rsidP="00A1117C">
            <w:pPr>
              <w:widowControl/>
              <w:jc w:val="left"/>
              <w:rPr>
                <w:rFonts w:ascii="游ゴシック" w:eastAsia="游ゴシック" w:hAnsi="游ゴシック" w:hint="eastAsia"/>
                <w:color w:val="000000"/>
                <w:sz w:val="22"/>
              </w:rPr>
            </w:pPr>
            <w:r>
              <w:rPr>
                <w:rFonts w:ascii="游ゴシック" w:eastAsia="游ゴシック" w:hAnsi="游ゴシック" w:hint="eastAsia"/>
                <w:color w:val="000000"/>
                <w:sz w:val="22"/>
              </w:rPr>
              <w:t>113041710</w:t>
            </w:r>
          </w:p>
        </w:tc>
        <w:tc>
          <w:tcPr>
            <w:tcW w:w="5020" w:type="dxa"/>
            <w:tcBorders>
              <w:top w:val="nil"/>
              <w:left w:val="nil"/>
              <w:bottom w:val="nil"/>
              <w:right w:val="nil"/>
            </w:tcBorders>
            <w:shd w:val="clear" w:color="auto" w:fill="auto"/>
            <w:noWrap/>
            <w:vAlign w:val="center"/>
            <w:hideMark/>
          </w:tcPr>
          <w:p w14:paraId="6AA832F3" w14:textId="69803E40"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w:t>
            </w:r>
            <w:r w:rsidR="00946768">
              <w:rPr>
                <w:rFonts w:ascii="游ゴシック" w:eastAsia="游ゴシック" w:hAnsi="游ゴシック" w:cs="ＭＳ Ｐゴシック" w:hint="eastAsia"/>
                <w:color w:val="000000"/>
                <w:kern w:val="0"/>
                <w:sz w:val="22"/>
              </w:rPr>
              <w:t>１</w:t>
            </w:r>
            <w:r w:rsidRPr="00A1117C">
              <w:rPr>
                <w:rFonts w:ascii="游ゴシック" w:eastAsia="游ゴシック" w:hAnsi="游ゴシック" w:cs="ＭＳ Ｐゴシック" w:hint="eastAsia"/>
                <w:color w:val="000000"/>
                <w:kern w:val="0"/>
                <w:sz w:val="22"/>
              </w:rPr>
              <w:t>（脂質異常症を主病）</w:t>
            </w:r>
          </w:p>
        </w:tc>
        <w:tc>
          <w:tcPr>
            <w:tcW w:w="500" w:type="dxa"/>
            <w:tcBorders>
              <w:top w:val="nil"/>
              <w:left w:val="nil"/>
              <w:bottom w:val="nil"/>
              <w:right w:val="nil"/>
            </w:tcBorders>
            <w:shd w:val="clear" w:color="auto" w:fill="auto"/>
            <w:noWrap/>
            <w:vAlign w:val="center"/>
            <w:hideMark/>
          </w:tcPr>
          <w:p w14:paraId="51B77CE0"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610</w:t>
            </w:r>
          </w:p>
        </w:tc>
        <w:tc>
          <w:tcPr>
            <w:tcW w:w="360" w:type="dxa"/>
            <w:tcBorders>
              <w:top w:val="nil"/>
              <w:left w:val="nil"/>
              <w:bottom w:val="nil"/>
              <w:right w:val="nil"/>
            </w:tcBorders>
            <w:shd w:val="clear" w:color="auto" w:fill="auto"/>
            <w:noWrap/>
            <w:vAlign w:val="center"/>
            <w:hideMark/>
          </w:tcPr>
          <w:p w14:paraId="073E8D19"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r w:rsidR="00A1117C" w:rsidRPr="00A1117C" w14:paraId="490789B8" w14:textId="77777777" w:rsidTr="00A1117C">
        <w:trPr>
          <w:trHeight w:val="360"/>
        </w:trPr>
        <w:tc>
          <w:tcPr>
            <w:tcW w:w="1220" w:type="dxa"/>
            <w:tcBorders>
              <w:top w:val="nil"/>
              <w:left w:val="nil"/>
              <w:bottom w:val="nil"/>
              <w:right w:val="nil"/>
            </w:tcBorders>
            <w:shd w:val="clear" w:color="auto" w:fill="auto"/>
            <w:noWrap/>
            <w:vAlign w:val="center"/>
            <w:hideMark/>
          </w:tcPr>
          <w:p w14:paraId="713D8A21" w14:textId="42180C8A" w:rsidR="00A1117C" w:rsidRPr="00A1117C" w:rsidRDefault="00946768" w:rsidP="00A1117C">
            <w:pPr>
              <w:widowControl/>
              <w:jc w:val="left"/>
              <w:rPr>
                <w:rFonts w:ascii="游ゴシック" w:eastAsia="游ゴシック" w:hAnsi="游ゴシック" w:cs="ＭＳ Ｐゴシック"/>
                <w:color w:val="000000"/>
                <w:kern w:val="0"/>
                <w:sz w:val="22"/>
              </w:rPr>
            </w:pPr>
            <w:r w:rsidRPr="00946768">
              <w:rPr>
                <w:rFonts w:ascii="游ゴシック" w:eastAsia="游ゴシック" w:hAnsi="游ゴシック" w:cs="ＭＳ Ｐゴシック"/>
                <w:color w:val="000000"/>
                <w:kern w:val="0"/>
                <w:sz w:val="22"/>
              </w:rPr>
              <w:t>113041810</w:t>
            </w:r>
          </w:p>
        </w:tc>
        <w:tc>
          <w:tcPr>
            <w:tcW w:w="5020" w:type="dxa"/>
            <w:tcBorders>
              <w:top w:val="nil"/>
              <w:left w:val="nil"/>
              <w:bottom w:val="nil"/>
              <w:right w:val="nil"/>
            </w:tcBorders>
            <w:shd w:val="clear" w:color="auto" w:fill="auto"/>
            <w:noWrap/>
            <w:vAlign w:val="center"/>
            <w:hideMark/>
          </w:tcPr>
          <w:p w14:paraId="60E902E1" w14:textId="25DBEE3D"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w:t>
            </w:r>
            <w:r w:rsidR="00946768">
              <w:rPr>
                <w:rFonts w:ascii="游ゴシック" w:eastAsia="游ゴシック" w:hAnsi="游ゴシック" w:cs="ＭＳ Ｐゴシック" w:hint="eastAsia"/>
                <w:color w:val="000000"/>
                <w:kern w:val="0"/>
                <w:sz w:val="22"/>
              </w:rPr>
              <w:t>１</w:t>
            </w:r>
            <w:r w:rsidRPr="00A1117C">
              <w:rPr>
                <w:rFonts w:ascii="游ゴシック" w:eastAsia="游ゴシック" w:hAnsi="游ゴシック" w:cs="ＭＳ Ｐゴシック" w:hint="eastAsia"/>
                <w:color w:val="000000"/>
                <w:kern w:val="0"/>
                <w:sz w:val="22"/>
              </w:rPr>
              <w:t>（高血圧症を主病）</w:t>
            </w:r>
          </w:p>
        </w:tc>
        <w:tc>
          <w:tcPr>
            <w:tcW w:w="500" w:type="dxa"/>
            <w:tcBorders>
              <w:top w:val="nil"/>
              <w:left w:val="nil"/>
              <w:bottom w:val="nil"/>
              <w:right w:val="nil"/>
            </w:tcBorders>
            <w:shd w:val="clear" w:color="auto" w:fill="auto"/>
            <w:noWrap/>
            <w:vAlign w:val="center"/>
            <w:hideMark/>
          </w:tcPr>
          <w:p w14:paraId="66206B58"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660</w:t>
            </w:r>
          </w:p>
        </w:tc>
        <w:tc>
          <w:tcPr>
            <w:tcW w:w="360" w:type="dxa"/>
            <w:tcBorders>
              <w:top w:val="nil"/>
              <w:left w:val="nil"/>
              <w:bottom w:val="nil"/>
              <w:right w:val="nil"/>
            </w:tcBorders>
            <w:shd w:val="clear" w:color="auto" w:fill="auto"/>
            <w:noWrap/>
            <w:vAlign w:val="center"/>
            <w:hideMark/>
          </w:tcPr>
          <w:p w14:paraId="04C3079B"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r w:rsidR="00A1117C" w:rsidRPr="00A1117C" w14:paraId="01DF7405" w14:textId="77777777" w:rsidTr="00A1117C">
        <w:trPr>
          <w:trHeight w:val="360"/>
        </w:trPr>
        <w:tc>
          <w:tcPr>
            <w:tcW w:w="1220" w:type="dxa"/>
            <w:tcBorders>
              <w:top w:val="nil"/>
              <w:left w:val="nil"/>
              <w:bottom w:val="nil"/>
              <w:right w:val="nil"/>
            </w:tcBorders>
            <w:shd w:val="clear" w:color="auto" w:fill="auto"/>
            <w:noWrap/>
            <w:vAlign w:val="center"/>
            <w:hideMark/>
          </w:tcPr>
          <w:p w14:paraId="413B2B77" w14:textId="02A530A7" w:rsidR="00A1117C" w:rsidRPr="00A1117C" w:rsidRDefault="00946768" w:rsidP="00A1117C">
            <w:pPr>
              <w:widowControl/>
              <w:jc w:val="left"/>
              <w:rPr>
                <w:rFonts w:ascii="游ゴシック" w:eastAsia="游ゴシック" w:hAnsi="游ゴシック" w:cs="ＭＳ Ｐゴシック"/>
                <w:color w:val="000000"/>
                <w:kern w:val="0"/>
                <w:sz w:val="22"/>
              </w:rPr>
            </w:pPr>
            <w:r w:rsidRPr="00946768">
              <w:rPr>
                <w:rFonts w:ascii="游ゴシック" w:eastAsia="游ゴシック" w:hAnsi="游ゴシック" w:cs="ＭＳ Ｐゴシック"/>
                <w:color w:val="000000"/>
                <w:kern w:val="0"/>
                <w:sz w:val="22"/>
              </w:rPr>
              <w:t>113041910</w:t>
            </w:r>
          </w:p>
        </w:tc>
        <w:tc>
          <w:tcPr>
            <w:tcW w:w="5020" w:type="dxa"/>
            <w:tcBorders>
              <w:top w:val="nil"/>
              <w:left w:val="nil"/>
              <w:bottom w:val="nil"/>
              <w:right w:val="nil"/>
            </w:tcBorders>
            <w:shd w:val="clear" w:color="auto" w:fill="auto"/>
            <w:noWrap/>
            <w:vAlign w:val="center"/>
            <w:hideMark/>
          </w:tcPr>
          <w:p w14:paraId="15FF42FC" w14:textId="569587D2"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w:t>
            </w:r>
            <w:r w:rsidR="00946768">
              <w:rPr>
                <w:rFonts w:ascii="游ゴシック" w:eastAsia="游ゴシック" w:hAnsi="游ゴシック" w:cs="ＭＳ Ｐゴシック" w:hint="eastAsia"/>
                <w:color w:val="000000"/>
                <w:kern w:val="0"/>
                <w:sz w:val="22"/>
              </w:rPr>
              <w:t>１</w:t>
            </w:r>
            <w:r w:rsidRPr="00A1117C">
              <w:rPr>
                <w:rFonts w:ascii="游ゴシック" w:eastAsia="游ゴシック" w:hAnsi="游ゴシック" w:cs="ＭＳ Ｐゴシック" w:hint="eastAsia"/>
                <w:color w:val="000000"/>
                <w:kern w:val="0"/>
                <w:sz w:val="22"/>
              </w:rPr>
              <w:t>（糖尿病を主病）</w:t>
            </w:r>
          </w:p>
        </w:tc>
        <w:tc>
          <w:tcPr>
            <w:tcW w:w="500" w:type="dxa"/>
            <w:tcBorders>
              <w:top w:val="nil"/>
              <w:left w:val="nil"/>
              <w:bottom w:val="nil"/>
              <w:right w:val="nil"/>
            </w:tcBorders>
            <w:shd w:val="clear" w:color="auto" w:fill="auto"/>
            <w:noWrap/>
            <w:vAlign w:val="center"/>
            <w:hideMark/>
          </w:tcPr>
          <w:p w14:paraId="7CB96D59"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760</w:t>
            </w:r>
          </w:p>
        </w:tc>
        <w:tc>
          <w:tcPr>
            <w:tcW w:w="360" w:type="dxa"/>
            <w:tcBorders>
              <w:top w:val="nil"/>
              <w:left w:val="nil"/>
              <w:bottom w:val="nil"/>
              <w:right w:val="nil"/>
            </w:tcBorders>
            <w:shd w:val="clear" w:color="auto" w:fill="auto"/>
            <w:noWrap/>
            <w:vAlign w:val="center"/>
            <w:hideMark/>
          </w:tcPr>
          <w:p w14:paraId="70A4EB30"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r w:rsidR="00A1117C" w:rsidRPr="00A1117C" w14:paraId="65C89436" w14:textId="77777777" w:rsidTr="00A1117C">
        <w:trPr>
          <w:trHeight w:val="360"/>
        </w:trPr>
        <w:tc>
          <w:tcPr>
            <w:tcW w:w="1220" w:type="dxa"/>
            <w:tcBorders>
              <w:top w:val="nil"/>
              <w:left w:val="nil"/>
              <w:bottom w:val="nil"/>
              <w:right w:val="nil"/>
            </w:tcBorders>
            <w:shd w:val="clear" w:color="auto" w:fill="auto"/>
            <w:noWrap/>
            <w:vAlign w:val="center"/>
            <w:hideMark/>
          </w:tcPr>
          <w:p w14:paraId="7472A6B9"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p>
        </w:tc>
        <w:tc>
          <w:tcPr>
            <w:tcW w:w="5020" w:type="dxa"/>
            <w:tcBorders>
              <w:top w:val="nil"/>
              <w:left w:val="nil"/>
              <w:bottom w:val="nil"/>
              <w:right w:val="nil"/>
            </w:tcBorders>
            <w:shd w:val="clear" w:color="auto" w:fill="auto"/>
            <w:noWrap/>
            <w:vAlign w:val="center"/>
            <w:hideMark/>
          </w:tcPr>
          <w:p w14:paraId="6D730F47" w14:textId="77777777" w:rsidR="00A1117C" w:rsidRPr="00A1117C" w:rsidRDefault="00A1117C" w:rsidP="00A1117C">
            <w:pPr>
              <w:widowControl/>
              <w:jc w:val="left"/>
              <w:rPr>
                <w:rFonts w:ascii="Times New Roman" w:eastAsia="Times New Roman" w:hAnsi="Times New Roman" w:cs="Times New Roman"/>
                <w:kern w:val="0"/>
                <w:sz w:val="20"/>
                <w:szCs w:val="20"/>
              </w:rPr>
            </w:pPr>
          </w:p>
        </w:tc>
        <w:tc>
          <w:tcPr>
            <w:tcW w:w="500" w:type="dxa"/>
            <w:tcBorders>
              <w:top w:val="nil"/>
              <w:left w:val="nil"/>
              <w:bottom w:val="nil"/>
              <w:right w:val="nil"/>
            </w:tcBorders>
            <w:shd w:val="clear" w:color="auto" w:fill="auto"/>
            <w:noWrap/>
            <w:vAlign w:val="center"/>
            <w:hideMark/>
          </w:tcPr>
          <w:p w14:paraId="721E0250" w14:textId="77777777" w:rsidR="00A1117C" w:rsidRPr="00A1117C" w:rsidRDefault="00A1117C" w:rsidP="00A1117C">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14:paraId="044BAA15" w14:textId="77777777" w:rsidR="00A1117C" w:rsidRPr="00A1117C" w:rsidRDefault="00A1117C" w:rsidP="00A1117C">
            <w:pPr>
              <w:widowControl/>
              <w:jc w:val="left"/>
              <w:rPr>
                <w:rFonts w:ascii="Times New Roman" w:eastAsia="Times New Roman" w:hAnsi="Times New Roman" w:cs="Times New Roman"/>
                <w:kern w:val="0"/>
                <w:sz w:val="20"/>
                <w:szCs w:val="20"/>
              </w:rPr>
            </w:pPr>
          </w:p>
        </w:tc>
      </w:tr>
      <w:tr w:rsidR="00A1117C" w:rsidRPr="00A1117C" w14:paraId="2C9555AF" w14:textId="77777777" w:rsidTr="00A1117C">
        <w:trPr>
          <w:trHeight w:val="360"/>
        </w:trPr>
        <w:tc>
          <w:tcPr>
            <w:tcW w:w="1220" w:type="dxa"/>
            <w:tcBorders>
              <w:top w:val="nil"/>
              <w:left w:val="nil"/>
              <w:bottom w:val="nil"/>
              <w:right w:val="nil"/>
            </w:tcBorders>
            <w:shd w:val="clear" w:color="auto" w:fill="auto"/>
            <w:noWrap/>
            <w:vAlign w:val="center"/>
            <w:hideMark/>
          </w:tcPr>
          <w:p w14:paraId="5AEAB861" w14:textId="6A73688F" w:rsidR="00A1117C" w:rsidRPr="00946768" w:rsidRDefault="00946768" w:rsidP="00A1117C">
            <w:pPr>
              <w:widowControl/>
              <w:jc w:val="left"/>
              <w:rPr>
                <w:rFonts w:ascii="游ゴシック" w:eastAsia="游ゴシック" w:hAnsi="游ゴシック" w:hint="eastAsia"/>
                <w:color w:val="000000"/>
                <w:sz w:val="22"/>
              </w:rPr>
            </w:pPr>
            <w:r>
              <w:rPr>
                <w:rFonts w:ascii="游ゴシック" w:eastAsia="游ゴシック" w:hAnsi="游ゴシック" w:hint="eastAsia"/>
                <w:color w:val="000000"/>
                <w:sz w:val="22"/>
              </w:rPr>
              <w:t>113707110</w:t>
            </w:r>
          </w:p>
        </w:tc>
        <w:tc>
          <w:tcPr>
            <w:tcW w:w="5020" w:type="dxa"/>
            <w:tcBorders>
              <w:top w:val="nil"/>
              <w:left w:val="nil"/>
              <w:bottom w:val="nil"/>
              <w:right w:val="nil"/>
            </w:tcBorders>
            <w:shd w:val="clear" w:color="auto" w:fill="auto"/>
            <w:noWrap/>
            <w:vAlign w:val="center"/>
            <w:hideMark/>
          </w:tcPr>
          <w:p w14:paraId="79B03621" w14:textId="3F669A18"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生活習慣病管理料</w:t>
            </w:r>
            <w:r w:rsidR="00946768">
              <w:rPr>
                <w:rFonts w:ascii="游ゴシック" w:eastAsia="游ゴシック" w:hAnsi="游ゴシック" w:cs="ＭＳ Ｐゴシック" w:hint="eastAsia"/>
                <w:color w:val="000000"/>
                <w:kern w:val="0"/>
                <w:sz w:val="22"/>
              </w:rPr>
              <w:t>２</w:t>
            </w:r>
          </w:p>
        </w:tc>
        <w:tc>
          <w:tcPr>
            <w:tcW w:w="500" w:type="dxa"/>
            <w:tcBorders>
              <w:top w:val="nil"/>
              <w:left w:val="nil"/>
              <w:bottom w:val="nil"/>
              <w:right w:val="nil"/>
            </w:tcBorders>
            <w:shd w:val="clear" w:color="auto" w:fill="auto"/>
            <w:noWrap/>
            <w:vAlign w:val="center"/>
            <w:hideMark/>
          </w:tcPr>
          <w:p w14:paraId="78198878" w14:textId="77777777" w:rsidR="00A1117C" w:rsidRPr="00A1117C" w:rsidRDefault="00A1117C" w:rsidP="00A1117C">
            <w:pPr>
              <w:widowControl/>
              <w:jc w:val="righ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333</w:t>
            </w:r>
          </w:p>
        </w:tc>
        <w:tc>
          <w:tcPr>
            <w:tcW w:w="360" w:type="dxa"/>
            <w:tcBorders>
              <w:top w:val="nil"/>
              <w:left w:val="nil"/>
              <w:bottom w:val="nil"/>
              <w:right w:val="nil"/>
            </w:tcBorders>
            <w:shd w:val="clear" w:color="auto" w:fill="auto"/>
            <w:noWrap/>
            <w:vAlign w:val="center"/>
            <w:hideMark/>
          </w:tcPr>
          <w:p w14:paraId="069566CC" w14:textId="77777777" w:rsidR="00A1117C" w:rsidRPr="00A1117C" w:rsidRDefault="00A1117C" w:rsidP="00A1117C">
            <w:pPr>
              <w:widowControl/>
              <w:jc w:val="left"/>
              <w:rPr>
                <w:rFonts w:ascii="游ゴシック" w:eastAsia="游ゴシック" w:hAnsi="游ゴシック" w:cs="ＭＳ Ｐゴシック"/>
                <w:color w:val="000000"/>
                <w:kern w:val="0"/>
                <w:sz w:val="22"/>
              </w:rPr>
            </w:pPr>
            <w:r w:rsidRPr="00A1117C">
              <w:rPr>
                <w:rFonts w:ascii="游ゴシック" w:eastAsia="游ゴシック" w:hAnsi="游ゴシック" w:cs="ＭＳ Ｐゴシック" w:hint="eastAsia"/>
                <w:color w:val="000000"/>
                <w:kern w:val="0"/>
                <w:sz w:val="22"/>
              </w:rPr>
              <w:t>点</w:t>
            </w:r>
          </w:p>
        </w:tc>
      </w:tr>
    </w:tbl>
    <w:p w14:paraId="2D6BC9B9" w14:textId="605C1DE4" w:rsidR="004D2952" w:rsidRDefault="004D2952" w:rsidP="004D2952">
      <w:pPr>
        <w:ind w:left="210" w:hangingChars="100" w:hanging="210"/>
      </w:pPr>
      <w:r>
        <w:rPr>
          <w:rFonts w:hint="eastAsia"/>
        </w:rPr>
        <w:t>・</w:t>
      </w:r>
      <w:r w:rsidR="00F72028">
        <w:rPr>
          <w:rFonts w:hint="eastAsia"/>
        </w:rPr>
        <w:t>生活習慣病管理料（Ⅰ）と生活習慣病管理料（Ⅱ）の包括範囲が変更された。</w:t>
      </w:r>
    </w:p>
    <w:p w14:paraId="7CDA6B44" w14:textId="15E2873F" w:rsidR="00863384" w:rsidRDefault="00863384" w:rsidP="004D2952">
      <w:pPr>
        <w:ind w:left="210" w:hangingChars="100" w:hanging="210"/>
      </w:pPr>
      <w:r>
        <w:rPr>
          <w:rFonts w:hint="eastAsia"/>
        </w:rPr>
        <w:t>・生活習慣病管理料（Ⅰ）と生活習慣病管理料（Ⅱ）</w:t>
      </w:r>
      <w:r w:rsidR="009B2521">
        <w:rPr>
          <w:rFonts w:hint="eastAsia"/>
        </w:rPr>
        <w:t>のレセプト</w:t>
      </w:r>
      <w:r>
        <w:rPr>
          <w:rFonts w:hint="eastAsia"/>
        </w:rPr>
        <w:t>が混在してもかまわない。</w:t>
      </w:r>
    </w:p>
    <w:p w14:paraId="6544239A" w14:textId="47CA17D7" w:rsidR="00F72028" w:rsidRDefault="00F72028" w:rsidP="004D2952">
      <w:pPr>
        <w:ind w:left="210" w:hangingChars="100" w:hanging="210"/>
      </w:pPr>
      <w:r>
        <w:rPr>
          <w:rFonts w:hint="eastAsia"/>
        </w:rPr>
        <w:t>・生活習慣病管理料（Ⅰ）を算定すると６ヶ月は生活習慣病管理料（Ⅱ）を算定できない。</w:t>
      </w:r>
    </w:p>
    <w:p w14:paraId="2C8B4E45" w14:textId="1B59CEA9" w:rsidR="001F24FA" w:rsidRDefault="001F24FA" w:rsidP="004D2952">
      <w:pPr>
        <w:ind w:left="210" w:hangingChars="100" w:hanging="210"/>
      </w:pPr>
      <w:r>
        <w:rPr>
          <w:rFonts w:hint="eastAsia"/>
        </w:rPr>
        <w:t>・生活習慣病管理料（Ⅱ）から生活習慣病管理料（Ⅰ）へはいつでも移行できる。</w:t>
      </w:r>
    </w:p>
    <w:p w14:paraId="2B9FA7F6" w14:textId="3EE73E98" w:rsidR="00E66029" w:rsidRDefault="00946768">
      <w:r>
        <w:rPr>
          <w:rFonts w:hint="eastAsia"/>
        </w:rPr>
        <w:t>※現在の生活習慣病管理料と6月からの生活習慣病管理料１はコードが同じである。</w:t>
      </w:r>
    </w:p>
    <w:p w14:paraId="4C7408B3" w14:textId="77777777" w:rsidR="00946768" w:rsidRDefault="00946768">
      <w:pPr>
        <w:rPr>
          <w:rFonts w:hint="eastAsia"/>
        </w:rPr>
      </w:pPr>
    </w:p>
    <w:p w14:paraId="105BB1D3" w14:textId="2D82F8FB" w:rsidR="00E66029" w:rsidRPr="008471E7" w:rsidRDefault="002C7DF1">
      <w:pPr>
        <w:rPr>
          <w:rFonts w:ascii="ＭＳ ゴシック" w:eastAsia="ＭＳ ゴシック" w:hAnsi="ＭＳ ゴシック"/>
        </w:rPr>
      </w:pPr>
      <w:r w:rsidRPr="008471E7">
        <w:rPr>
          <w:rFonts w:ascii="ＭＳ ゴシック" w:eastAsia="ＭＳ ゴシック" w:hAnsi="ＭＳ ゴシック" w:hint="eastAsia"/>
        </w:rPr>
        <w:t>外来データ提出加算</w:t>
      </w:r>
    </w:p>
    <w:p w14:paraId="6D19265E" w14:textId="341F1D0B" w:rsidR="002C7DF1" w:rsidRDefault="002C7DF1" w:rsidP="00985CAD">
      <w:pPr>
        <w:ind w:left="210" w:hangingChars="100" w:hanging="210"/>
      </w:pPr>
      <w:r>
        <w:rPr>
          <w:rFonts w:hint="eastAsia"/>
        </w:rPr>
        <w:t>・</w:t>
      </w:r>
      <w:r w:rsidR="00863384">
        <w:rPr>
          <w:rFonts w:hint="eastAsia"/>
        </w:rPr>
        <w:t>生活習慣病管理料（Ⅰ）、（Ⅱ）</w:t>
      </w:r>
      <w:r w:rsidR="009A7954">
        <w:rPr>
          <w:rFonts w:hint="eastAsia"/>
        </w:rPr>
        <w:t>を算定しているレセプトで</w:t>
      </w:r>
      <w:r w:rsidR="00863384">
        <w:rPr>
          <w:rFonts w:hint="eastAsia"/>
        </w:rPr>
        <w:t>外来データ加算が算定できる。</w:t>
      </w:r>
    </w:p>
    <w:tbl>
      <w:tblPr>
        <w:tblW w:w="8083" w:type="dxa"/>
        <w:tblInd w:w="99" w:type="dxa"/>
        <w:tblCellMar>
          <w:left w:w="99" w:type="dxa"/>
          <w:right w:w="99" w:type="dxa"/>
        </w:tblCellMar>
        <w:tblLook w:val="04A0" w:firstRow="1" w:lastRow="0" w:firstColumn="1" w:lastColumn="0" w:noHBand="0" w:noVBand="1"/>
      </w:tblPr>
      <w:tblGrid>
        <w:gridCol w:w="1340"/>
        <w:gridCol w:w="5260"/>
        <w:gridCol w:w="443"/>
        <w:gridCol w:w="1040"/>
      </w:tblGrid>
      <w:tr w:rsidR="00D12240" w:rsidRPr="00D12240" w14:paraId="57449743" w14:textId="77777777" w:rsidTr="00946768">
        <w:trPr>
          <w:trHeight w:val="360"/>
        </w:trPr>
        <w:tc>
          <w:tcPr>
            <w:tcW w:w="1340" w:type="dxa"/>
            <w:tcBorders>
              <w:top w:val="nil"/>
              <w:left w:val="nil"/>
              <w:bottom w:val="nil"/>
              <w:right w:val="nil"/>
            </w:tcBorders>
            <w:shd w:val="clear" w:color="auto" w:fill="auto"/>
            <w:noWrap/>
            <w:vAlign w:val="center"/>
            <w:hideMark/>
          </w:tcPr>
          <w:p w14:paraId="2B7F1FC4" w14:textId="0883E44D" w:rsidR="00D12240" w:rsidRPr="00946768" w:rsidRDefault="00946768" w:rsidP="00946768">
            <w:pPr>
              <w:widowControl/>
              <w:jc w:val="right"/>
              <w:rPr>
                <w:rFonts w:ascii="游ゴシック" w:eastAsia="游ゴシック" w:hAnsi="游ゴシック" w:hint="eastAsia"/>
                <w:color w:val="000000"/>
                <w:sz w:val="22"/>
              </w:rPr>
            </w:pPr>
            <w:r>
              <w:rPr>
                <w:rFonts w:ascii="游ゴシック" w:eastAsia="游ゴシック" w:hAnsi="游ゴシック" w:hint="eastAsia"/>
                <w:color w:val="000000"/>
                <w:sz w:val="22"/>
              </w:rPr>
              <w:t>113042070</w:t>
            </w:r>
          </w:p>
        </w:tc>
        <w:tc>
          <w:tcPr>
            <w:tcW w:w="5260" w:type="dxa"/>
            <w:tcBorders>
              <w:top w:val="nil"/>
              <w:left w:val="nil"/>
              <w:bottom w:val="nil"/>
              <w:right w:val="nil"/>
            </w:tcBorders>
            <w:shd w:val="clear" w:color="auto" w:fill="auto"/>
            <w:noWrap/>
            <w:vAlign w:val="center"/>
            <w:hideMark/>
          </w:tcPr>
          <w:p w14:paraId="46F26D0E" w14:textId="77777777" w:rsidR="00D12240" w:rsidRPr="00D12240" w:rsidRDefault="00D12240" w:rsidP="00D12240">
            <w:pPr>
              <w:widowControl/>
              <w:jc w:val="left"/>
              <w:rPr>
                <w:rFonts w:ascii="游ゴシック" w:eastAsia="游ゴシック" w:hAnsi="游ゴシック" w:cs="ＭＳ Ｐゴシック"/>
                <w:color w:val="000000"/>
                <w:kern w:val="0"/>
                <w:sz w:val="22"/>
              </w:rPr>
            </w:pPr>
            <w:r w:rsidRPr="00D12240">
              <w:rPr>
                <w:rFonts w:ascii="游ゴシック" w:eastAsia="游ゴシック" w:hAnsi="游ゴシック" w:cs="ＭＳ Ｐゴシック" w:hint="eastAsia"/>
                <w:color w:val="000000"/>
                <w:kern w:val="0"/>
                <w:sz w:val="22"/>
              </w:rPr>
              <w:t>外来データ提出加算（生活習慣病管理料）</w:t>
            </w:r>
          </w:p>
        </w:tc>
        <w:tc>
          <w:tcPr>
            <w:tcW w:w="443" w:type="dxa"/>
            <w:tcBorders>
              <w:top w:val="nil"/>
              <w:left w:val="nil"/>
              <w:bottom w:val="nil"/>
              <w:right w:val="nil"/>
            </w:tcBorders>
            <w:shd w:val="clear" w:color="auto" w:fill="auto"/>
            <w:noWrap/>
            <w:vAlign w:val="center"/>
            <w:hideMark/>
          </w:tcPr>
          <w:p w14:paraId="5D4E9D88" w14:textId="77777777" w:rsidR="00D12240" w:rsidRPr="00D12240" w:rsidRDefault="00D12240" w:rsidP="00D12240">
            <w:pPr>
              <w:widowControl/>
              <w:jc w:val="right"/>
              <w:rPr>
                <w:rFonts w:ascii="游ゴシック" w:eastAsia="游ゴシック" w:hAnsi="游ゴシック" w:cs="ＭＳ Ｐゴシック"/>
                <w:color w:val="000000"/>
                <w:kern w:val="0"/>
                <w:sz w:val="22"/>
              </w:rPr>
            </w:pPr>
            <w:r w:rsidRPr="00D12240">
              <w:rPr>
                <w:rFonts w:ascii="游ゴシック" w:eastAsia="游ゴシック" w:hAnsi="游ゴシック" w:cs="ＭＳ Ｐゴシック" w:hint="eastAsia"/>
                <w:color w:val="000000"/>
                <w:kern w:val="0"/>
                <w:sz w:val="22"/>
              </w:rPr>
              <w:t>50</w:t>
            </w:r>
          </w:p>
        </w:tc>
        <w:tc>
          <w:tcPr>
            <w:tcW w:w="1040" w:type="dxa"/>
            <w:tcBorders>
              <w:top w:val="nil"/>
              <w:left w:val="nil"/>
              <w:bottom w:val="nil"/>
              <w:right w:val="nil"/>
            </w:tcBorders>
            <w:shd w:val="clear" w:color="auto" w:fill="auto"/>
            <w:noWrap/>
            <w:vAlign w:val="center"/>
            <w:hideMark/>
          </w:tcPr>
          <w:p w14:paraId="2BFE5661" w14:textId="77777777" w:rsidR="00D12240" w:rsidRPr="00D12240" w:rsidRDefault="00D12240" w:rsidP="00D12240">
            <w:pPr>
              <w:widowControl/>
              <w:jc w:val="left"/>
              <w:rPr>
                <w:rFonts w:ascii="游ゴシック" w:eastAsia="游ゴシック" w:hAnsi="游ゴシック" w:cs="ＭＳ Ｐゴシック"/>
                <w:color w:val="000000"/>
                <w:kern w:val="0"/>
                <w:sz w:val="22"/>
              </w:rPr>
            </w:pPr>
            <w:r w:rsidRPr="00D12240">
              <w:rPr>
                <w:rFonts w:ascii="游ゴシック" w:eastAsia="游ゴシック" w:hAnsi="游ゴシック" w:cs="ＭＳ Ｐゴシック" w:hint="eastAsia"/>
                <w:color w:val="000000"/>
                <w:kern w:val="0"/>
                <w:sz w:val="22"/>
              </w:rPr>
              <w:t>点</w:t>
            </w:r>
          </w:p>
        </w:tc>
      </w:tr>
    </w:tbl>
    <w:p w14:paraId="55D0B978" w14:textId="77777777" w:rsidR="00D12240" w:rsidRDefault="00D12240">
      <w:pPr>
        <w:widowControl/>
        <w:jc w:val="left"/>
        <w:rPr>
          <w:rFonts w:ascii="ＭＳ ゴシック" w:eastAsia="ＭＳ ゴシック" w:hAnsi="ＭＳ ゴシック"/>
        </w:rPr>
      </w:pPr>
      <w:r>
        <w:rPr>
          <w:rFonts w:ascii="ＭＳ ゴシック" w:eastAsia="ＭＳ ゴシック" w:hAnsi="ＭＳ ゴシック"/>
        </w:rPr>
        <w:br w:type="page"/>
      </w:r>
    </w:p>
    <w:p w14:paraId="658AC67E" w14:textId="3D53E04D" w:rsidR="00945914" w:rsidRPr="008471E7" w:rsidRDefault="00945914" w:rsidP="00985CAD">
      <w:pPr>
        <w:ind w:left="210" w:hangingChars="100" w:hanging="210"/>
        <w:rPr>
          <w:rFonts w:ascii="ＭＳ ゴシック" w:eastAsia="ＭＳ ゴシック" w:hAnsi="ＭＳ ゴシック"/>
        </w:rPr>
      </w:pPr>
      <w:r w:rsidRPr="008471E7">
        <w:rPr>
          <w:rFonts w:ascii="ＭＳ ゴシック" w:eastAsia="ＭＳ ゴシック" w:hAnsi="ＭＳ ゴシック" w:hint="eastAsia"/>
        </w:rPr>
        <w:lastRenderedPageBreak/>
        <w:t>生活習慣病管理料置換えシミュレーション</w:t>
      </w:r>
    </w:p>
    <w:p w14:paraId="40D03759" w14:textId="30345246" w:rsidR="00945914" w:rsidRDefault="00945914" w:rsidP="00985CAD">
      <w:pPr>
        <w:ind w:left="210" w:hangingChars="100" w:hanging="210"/>
      </w:pPr>
      <w:r>
        <w:rPr>
          <w:rFonts w:hint="eastAsia"/>
        </w:rPr>
        <w:t>・</w:t>
      </w:r>
      <w:r w:rsidR="009A7954">
        <w:rPr>
          <w:rFonts w:hint="eastAsia"/>
        </w:rPr>
        <w:t>対象</w:t>
      </w:r>
      <w:r w:rsidR="00985CAD">
        <w:rPr>
          <w:rFonts w:hint="eastAsia"/>
        </w:rPr>
        <w:t>レセプトを</w:t>
      </w:r>
      <w:r w:rsidR="00333323">
        <w:rPr>
          <w:rFonts w:hint="eastAsia"/>
        </w:rPr>
        <w:t>（１）</w:t>
      </w:r>
      <w:r w:rsidR="00447E78">
        <w:rPr>
          <w:rFonts w:hint="eastAsia"/>
        </w:rPr>
        <w:t>生活習慣病管理料（Ⅰ）または</w:t>
      </w:r>
      <w:r w:rsidR="00333323">
        <w:rPr>
          <w:rFonts w:hint="eastAsia"/>
        </w:rPr>
        <w:t>（２）</w:t>
      </w:r>
      <w:r w:rsidR="00447E78">
        <w:rPr>
          <w:rFonts w:hint="eastAsia"/>
        </w:rPr>
        <w:t>生活習慣病管理料（Ⅱ）</w:t>
      </w:r>
      <w:r w:rsidR="0022279D">
        <w:rPr>
          <w:rFonts w:hint="eastAsia"/>
        </w:rPr>
        <w:t>で算定した場合の点数（金額）の差額をシミュレーションする。</w:t>
      </w:r>
    </w:p>
    <w:p w14:paraId="7AD1504F" w14:textId="51CDC435" w:rsidR="00333323" w:rsidRPr="00333323" w:rsidRDefault="009B66E7" w:rsidP="00333323">
      <w:pPr>
        <w:ind w:left="210" w:hangingChars="100" w:hanging="210"/>
        <w:jc w:val="left"/>
        <w:rPr>
          <w:rFonts w:hint="eastAsia"/>
          <w:b/>
          <w:bCs/>
        </w:rPr>
      </w:pPr>
      <w:r>
        <w:rPr>
          <w:rFonts w:hint="eastAsia"/>
        </w:rPr>
        <w:t>・</w:t>
      </w:r>
      <w:r w:rsidR="00333323">
        <w:rPr>
          <w:rFonts w:hint="eastAsia"/>
        </w:rPr>
        <w:t>対象レセプトが</w:t>
      </w:r>
      <w:r w:rsidR="00333323">
        <w:rPr>
          <w:rFonts w:hint="eastAsia"/>
        </w:rPr>
        <w:t>生活習慣病管理料</w:t>
      </w:r>
      <w:r w:rsidR="00333323">
        <w:rPr>
          <w:rFonts w:hint="eastAsia"/>
        </w:rPr>
        <w:t>を算定している場合、</w:t>
      </w:r>
      <w:r w:rsidR="00333323">
        <w:br/>
      </w:r>
      <w:r w:rsidR="00333323">
        <w:rPr>
          <w:rFonts w:hint="eastAsia"/>
        </w:rPr>
        <w:t>（１）生活習慣病管理料（Ⅰ）</w:t>
      </w:r>
      <w:r w:rsidR="00182C1E">
        <w:rPr>
          <w:rFonts w:hint="eastAsia"/>
        </w:rPr>
        <w:t>で算定した場合</w:t>
      </w:r>
      <w:r w:rsidR="00333323">
        <w:rPr>
          <w:rFonts w:hint="eastAsia"/>
        </w:rPr>
        <w:t>は生活習慣病管理料（Ⅰ）に置き換える。</w:t>
      </w:r>
    </w:p>
    <w:p w14:paraId="1E3EF9C9" w14:textId="77777777" w:rsidR="00182C1E" w:rsidRDefault="00333323" w:rsidP="00182C1E">
      <w:pPr>
        <w:ind w:leftChars="100" w:left="420" w:hangingChars="100" w:hanging="210"/>
      </w:pPr>
      <w:r>
        <w:rPr>
          <w:rFonts w:hint="eastAsia"/>
        </w:rPr>
        <w:t>（２）</w:t>
      </w:r>
      <w:r w:rsidR="009B66E7">
        <w:rPr>
          <w:rFonts w:hint="eastAsia"/>
        </w:rPr>
        <w:t>生活習慣病管理料（Ⅱ）</w:t>
      </w:r>
      <w:r>
        <w:rPr>
          <w:rFonts w:hint="eastAsia"/>
        </w:rPr>
        <w:t>で算定した場合も</w:t>
      </w:r>
      <w:r w:rsidR="009B66E7">
        <w:rPr>
          <w:rFonts w:hint="eastAsia"/>
        </w:rPr>
        <w:t>生活習慣病管理料（Ⅰ）に</w:t>
      </w:r>
      <w:r>
        <w:rPr>
          <w:rFonts w:hint="eastAsia"/>
        </w:rPr>
        <w:t>置き換え</w:t>
      </w:r>
    </w:p>
    <w:p w14:paraId="7ACB42C9" w14:textId="23375EDD" w:rsidR="00333323" w:rsidRDefault="00333323" w:rsidP="00182C1E">
      <w:pPr>
        <w:ind w:leftChars="100" w:left="420" w:hangingChars="100" w:hanging="210"/>
      </w:pPr>
      <w:r>
        <w:rPr>
          <w:rFonts w:hint="eastAsia"/>
        </w:rPr>
        <w:t>※</w:t>
      </w:r>
      <w:r w:rsidR="00182C1E">
        <w:rPr>
          <w:rFonts w:hint="eastAsia"/>
        </w:rPr>
        <w:t>６月より前の</w:t>
      </w:r>
      <w:r>
        <w:rPr>
          <w:rFonts w:hint="eastAsia"/>
        </w:rPr>
        <w:t>生活習慣病管理料</w:t>
      </w:r>
      <w:r w:rsidR="00182C1E">
        <w:rPr>
          <w:rFonts w:hint="eastAsia"/>
        </w:rPr>
        <w:t>は、生活習慣病管理料に</w:t>
      </w:r>
      <w:r>
        <w:rPr>
          <w:rFonts w:hint="eastAsia"/>
        </w:rPr>
        <w:t>包括している内容がわから</w:t>
      </w:r>
      <w:r w:rsidR="00182C1E">
        <w:rPr>
          <w:rFonts w:hint="eastAsia"/>
        </w:rPr>
        <w:t xml:space="preserve">　</w:t>
      </w:r>
      <w:r>
        <w:rPr>
          <w:rFonts w:hint="eastAsia"/>
        </w:rPr>
        <w:t>ないため、生活習慣病管理料（Ⅱ）には置き換えられないため、</w:t>
      </w:r>
      <w:r w:rsidR="00182C1E">
        <w:rPr>
          <w:rFonts w:hint="eastAsia"/>
        </w:rPr>
        <w:t>生活習慣病管理料（Ⅰ）に置き換える。</w:t>
      </w:r>
    </w:p>
    <w:p w14:paraId="676A29F8" w14:textId="77777777" w:rsidR="00182C1E" w:rsidRDefault="00182C1E" w:rsidP="00333323">
      <w:pPr>
        <w:ind w:leftChars="100" w:left="210"/>
        <w:rPr>
          <w:rFonts w:hint="eastAsia"/>
        </w:rPr>
      </w:pPr>
    </w:p>
    <w:p w14:paraId="342E31CF" w14:textId="31155360" w:rsidR="00423306" w:rsidRPr="008471E7" w:rsidRDefault="00423306" w:rsidP="00985CAD">
      <w:pPr>
        <w:ind w:left="210" w:hangingChars="100" w:hanging="210"/>
        <w:rPr>
          <w:rFonts w:ascii="ＭＳ ゴシック" w:eastAsia="ＭＳ ゴシック" w:hAnsi="ＭＳ ゴシック"/>
        </w:rPr>
      </w:pPr>
      <w:r w:rsidRPr="008471E7">
        <w:rPr>
          <w:rFonts w:ascii="ＭＳ ゴシック" w:eastAsia="ＭＳ ゴシック" w:hAnsi="ＭＳ ゴシック" w:hint="eastAsia"/>
        </w:rPr>
        <w:t>生活習慣病管理料置換えシミュレーションの対象レセプト</w:t>
      </w:r>
    </w:p>
    <w:p w14:paraId="5FB2E3E6" w14:textId="78555C8F" w:rsidR="0022279D" w:rsidRDefault="00423306" w:rsidP="00985CAD">
      <w:pPr>
        <w:ind w:left="210" w:hangingChars="100" w:hanging="210"/>
      </w:pPr>
      <w:r>
        <w:rPr>
          <w:rFonts w:hint="eastAsia"/>
        </w:rPr>
        <w:t>・</w:t>
      </w:r>
      <w:r w:rsidR="00447E78">
        <w:rPr>
          <w:rFonts w:hint="eastAsia"/>
        </w:rPr>
        <w:t>高血圧症、脂質異常症、糖尿病</w:t>
      </w:r>
      <w:r>
        <w:rPr>
          <w:rFonts w:hint="eastAsia"/>
        </w:rPr>
        <w:t>の病名（確定）</w:t>
      </w:r>
      <w:r w:rsidR="009B66E7">
        <w:rPr>
          <w:rFonts w:hint="eastAsia"/>
        </w:rPr>
        <w:t>を主病とする</w:t>
      </w:r>
      <w:r w:rsidR="0060187B">
        <w:rPr>
          <w:rFonts w:hint="eastAsia"/>
        </w:rPr>
        <w:t>。</w:t>
      </w:r>
    </w:p>
    <w:p w14:paraId="05756B87" w14:textId="2495DA11" w:rsidR="009A7954" w:rsidRDefault="009A7954" w:rsidP="00985CAD">
      <w:pPr>
        <w:ind w:left="210" w:hangingChars="100" w:hanging="210"/>
      </w:pPr>
      <w:r>
        <w:rPr>
          <w:rFonts w:hint="eastAsia"/>
        </w:rPr>
        <w:t>・特定疾患療養管理料または</w:t>
      </w:r>
      <w:r w:rsidR="00D12240">
        <w:rPr>
          <w:rFonts w:hint="eastAsia"/>
        </w:rPr>
        <w:t>生活習慣病管理料、生活習慣病管理料（Ⅰ）、</w:t>
      </w:r>
      <w:r>
        <w:rPr>
          <w:rFonts w:hint="eastAsia"/>
        </w:rPr>
        <w:t>生活習慣病管理料（Ⅱ）を算定している。</w:t>
      </w:r>
    </w:p>
    <w:p w14:paraId="166CF6F2" w14:textId="0A1617D9" w:rsidR="00423306" w:rsidRDefault="00423306" w:rsidP="00985CAD">
      <w:pPr>
        <w:ind w:left="210" w:hangingChars="100" w:hanging="210"/>
      </w:pPr>
      <w:r>
        <w:rPr>
          <w:rFonts w:hint="eastAsia"/>
        </w:rPr>
        <w:t>・「初診」「</w:t>
      </w:r>
      <w:r w:rsidR="0060187B">
        <w:rPr>
          <w:rFonts w:hint="eastAsia"/>
        </w:rPr>
        <w:t>在宅」の区分の有るレセプト</w:t>
      </w:r>
      <w:r w:rsidR="001F24FA">
        <w:rPr>
          <w:rFonts w:hint="eastAsia"/>
        </w:rPr>
        <w:t>は</w:t>
      </w:r>
      <w:r w:rsidR="0060187B">
        <w:rPr>
          <w:rFonts w:hint="eastAsia"/>
        </w:rPr>
        <w:t>除く。</w:t>
      </w:r>
    </w:p>
    <w:p w14:paraId="74BBC6C8" w14:textId="4F80DFE6" w:rsidR="00447E78" w:rsidRDefault="0060187B" w:rsidP="001F24FA">
      <w:pPr>
        <w:ind w:left="210" w:hangingChars="100" w:hanging="210"/>
      </w:pPr>
      <w:r>
        <w:rPr>
          <w:rFonts w:hint="eastAsia"/>
        </w:rPr>
        <w:t>・</w:t>
      </w:r>
      <w:r w:rsidR="004F2C36">
        <w:rPr>
          <w:rFonts w:hint="eastAsia"/>
        </w:rPr>
        <w:t>情報通信機器</w:t>
      </w:r>
      <w:r>
        <w:rPr>
          <w:rFonts w:hint="eastAsia"/>
        </w:rPr>
        <w:t>.csv</w:t>
      </w:r>
      <w:r w:rsidR="00DC7415">
        <w:rPr>
          <w:rFonts w:hint="eastAsia"/>
        </w:rPr>
        <w:t>を算定しているレセプト</w:t>
      </w:r>
      <w:r w:rsidR="001F24FA">
        <w:rPr>
          <w:rFonts w:hint="eastAsia"/>
        </w:rPr>
        <w:t>は</w:t>
      </w:r>
      <w:r>
        <w:rPr>
          <w:rFonts w:hint="eastAsia"/>
        </w:rPr>
        <w:t>除く。</w:t>
      </w:r>
    </w:p>
    <w:p w14:paraId="1286BD3E" w14:textId="5616B935" w:rsidR="00DC7415" w:rsidRDefault="00DC7415" w:rsidP="00985CAD">
      <w:pPr>
        <w:ind w:left="210" w:hangingChars="100" w:hanging="210"/>
      </w:pPr>
    </w:p>
    <w:p w14:paraId="40CBFD3F" w14:textId="1858B902" w:rsidR="00DC7415" w:rsidRPr="008471E7" w:rsidRDefault="00DC7415" w:rsidP="00985CAD">
      <w:pPr>
        <w:ind w:left="210" w:hangingChars="100" w:hanging="210"/>
        <w:rPr>
          <w:rFonts w:ascii="ＭＳ ゴシック" w:eastAsia="ＭＳ ゴシック" w:hAnsi="ＭＳ ゴシック"/>
        </w:rPr>
      </w:pPr>
      <w:r w:rsidRPr="008471E7">
        <w:rPr>
          <w:rFonts w:ascii="ＭＳ ゴシック" w:eastAsia="ＭＳ ゴシック" w:hAnsi="ＭＳ ゴシック" w:hint="eastAsia"/>
        </w:rPr>
        <w:t>対象病名</w:t>
      </w:r>
    </w:p>
    <w:p w14:paraId="1EBE3AE6" w14:textId="5C391D47" w:rsidR="00DC7415" w:rsidRDefault="00DC7415" w:rsidP="00985CAD">
      <w:pPr>
        <w:ind w:left="210" w:hangingChars="100" w:hanging="210"/>
      </w:pPr>
      <w:r>
        <w:rPr>
          <w:rFonts w:hint="eastAsia"/>
        </w:rPr>
        <w:t>・脂質異常.csv、高血圧.csv、糖尿病.csvに定義する。</w:t>
      </w:r>
    </w:p>
    <w:p w14:paraId="50BE0FC9" w14:textId="2D480BED" w:rsidR="00FE0D95" w:rsidRDefault="00DC7415" w:rsidP="004F2C36">
      <w:pPr>
        <w:ind w:left="210" w:hangingChars="100" w:hanging="210"/>
      </w:pPr>
      <w:r>
        <w:rPr>
          <w:rFonts w:hint="eastAsia"/>
        </w:rPr>
        <w:t>・</w:t>
      </w:r>
      <w:r w:rsidR="004F2C36">
        <w:rPr>
          <w:rFonts w:hint="eastAsia"/>
        </w:rPr>
        <w:t>未コード化傷病名は対象としない。</w:t>
      </w:r>
    </w:p>
    <w:p w14:paraId="206A87E8" w14:textId="3418931C" w:rsidR="000E1BD7" w:rsidRDefault="000E1BD7" w:rsidP="00985CAD">
      <w:pPr>
        <w:ind w:left="210" w:hangingChars="100" w:hanging="210"/>
      </w:pPr>
      <w:r>
        <w:rPr>
          <w:rFonts w:hint="eastAsia"/>
        </w:rPr>
        <w:t>・疑い病名は除く。</w:t>
      </w:r>
    </w:p>
    <w:p w14:paraId="4A3564A1" w14:textId="3FFE4DF4" w:rsidR="00EF011B" w:rsidRDefault="000E1BD7" w:rsidP="004F2C36">
      <w:pPr>
        <w:ind w:left="210" w:hangingChars="100" w:hanging="210"/>
      </w:pPr>
      <w:r>
        <w:rPr>
          <w:rFonts w:hint="eastAsia"/>
        </w:rPr>
        <w:t>・転帰が「治癒」「中止」「死亡」の病名は除く。</w:t>
      </w:r>
    </w:p>
    <w:p w14:paraId="50DCB0DE" w14:textId="3D7A092B" w:rsidR="000E1BD7" w:rsidRDefault="000E1BD7" w:rsidP="00985CAD">
      <w:pPr>
        <w:ind w:left="210" w:hangingChars="100" w:hanging="210"/>
      </w:pPr>
    </w:p>
    <w:p w14:paraId="0DBE8C44" w14:textId="5D4DDC7E" w:rsidR="000E1BD7" w:rsidRPr="00DE13BD" w:rsidRDefault="001337C7" w:rsidP="00985CAD">
      <w:pPr>
        <w:ind w:left="210" w:hangingChars="100" w:hanging="210"/>
        <w:rPr>
          <w:rFonts w:ascii="ＭＳ ゴシック" w:eastAsia="ＭＳ ゴシック" w:hAnsi="ＭＳ ゴシック"/>
        </w:rPr>
      </w:pPr>
      <w:r w:rsidRPr="00DE13BD">
        <w:rPr>
          <w:rFonts w:ascii="ＭＳ ゴシック" w:eastAsia="ＭＳ ゴシック" w:hAnsi="ＭＳ ゴシック" w:hint="eastAsia"/>
        </w:rPr>
        <w:t>置換える生活習慣病管理料の</w:t>
      </w:r>
      <w:r w:rsidR="00BF7C72" w:rsidRPr="00DE13BD">
        <w:rPr>
          <w:rFonts w:ascii="ＭＳ ゴシック" w:eastAsia="ＭＳ ゴシック" w:hAnsi="ＭＳ ゴシック" w:hint="eastAsia"/>
        </w:rPr>
        <w:t>対象</w:t>
      </w:r>
      <w:r w:rsidR="000436B1" w:rsidRPr="00DE13BD">
        <w:rPr>
          <w:rFonts w:ascii="ＭＳ ゴシック" w:eastAsia="ＭＳ ゴシック" w:hAnsi="ＭＳ ゴシック" w:hint="eastAsia"/>
        </w:rPr>
        <w:t>疾患</w:t>
      </w:r>
    </w:p>
    <w:p w14:paraId="7EAFB3E1" w14:textId="2EEAB601" w:rsidR="001337C7" w:rsidRDefault="001337C7" w:rsidP="00985CAD">
      <w:pPr>
        <w:ind w:left="210" w:hangingChars="100" w:hanging="210"/>
      </w:pPr>
      <w:r>
        <w:rPr>
          <w:rFonts w:hint="eastAsia"/>
        </w:rPr>
        <w:t>・</w:t>
      </w:r>
      <w:r w:rsidR="00BF7C72">
        <w:rPr>
          <w:rFonts w:hint="eastAsia"/>
        </w:rPr>
        <w:t>主病が複数</w:t>
      </w:r>
      <w:r w:rsidR="00EF011B">
        <w:rPr>
          <w:rFonts w:hint="eastAsia"/>
        </w:rPr>
        <w:t>の病名に</w:t>
      </w:r>
      <w:r w:rsidR="00BF7C72">
        <w:rPr>
          <w:rFonts w:hint="eastAsia"/>
        </w:rPr>
        <w:t>指定されている場合は、点数が高い順に糖尿病→高血圧症→脂質異常症を</w:t>
      </w:r>
      <w:r w:rsidR="009B66E7">
        <w:rPr>
          <w:rFonts w:hint="eastAsia"/>
        </w:rPr>
        <w:t>主病</w:t>
      </w:r>
      <w:r w:rsidR="00BF7C72">
        <w:rPr>
          <w:rFonts w:hint="eastAsia"/>
        </w:rPr>
        <w:t>とする</w:t>
      </w:r>
      <w:r w:rsidR="00AE0572">
        <w:rPr>
          <w:rFonts w:hint="eastAsia"/>
        </w:rPr>
        <w:t>。</w:t>
      </w:r>
    </w:p>
    <w:p w14:paraId="58D2C256" w14:textId="28763B34" w:rsidR="00AE0572" w:rsidRDefault="00AE0572" w:rsidP="00985CAD">
      <w:pPr>
        <w:ind w:left="210" w:hangingChars="100" w:hanging="210"/>
      </w:pPr>
    </w:p>
    <w:p w14:paraId="5ACA0B30" w14:textId="398CC70A" w:rsidR="00AE0572" w:rsidRPr="00DE13BD" w:rsidRDefault="00F02740" w:rsidP="00985CAD">
      <w:pPr>
        <w:ind w:left="210" w:hangingChars="100" w:hanging="210"/>
        <w:rPr>
          <w:rFonts w:ascii="ＭＳ ゴシック" w:eastAsia="ＭＳ ゴシック" w:hAnsi="ＭＳ ゴシック"/>
        </w:rPr>
      </w:pPr>
      <w:r>
        <w:rPr>
          <w:rFonts w:ascii="ＭＳ ゴシック" w:eastAsia="ＭＳ ゴシック" w:hAnsi="ＭＳ ゴシック" w:hint="eastAsia"/>
        </w:rPr>
        <w:t>生活習慣病管理料（Ⅰ）の</w:t>
      </w:r>
      <w:r w:rsidR="00AE0572" w:rsidRPr="00DE13BD">
        <w:rPr>
          <w:rFonts w:ascii="ＭＳ ゴシック" w:eastAsia="ＭＳ ゴシック" w:hAnsi="ＭＳ ゴシック" w:hint="eastAsia"/>
        </w:rPr>
        <w:t>包括対象</w:t>
      </w:r>
    </w:p>
    <w:p w14:paraId="6EE5137E" w14:textId="75586F18" w:rsidR="00F02740" w:rsidRDefault="00F02740" w:rsidP="00985CAD">
      <w:pPr>
        <w:ind w:left="210" w:hangingChars="100" w:hanging="210"/>
      </w:pPr>
      <w:r>
        <w:rPr>
          <w:rFonts w:hint="eastAsia"/>
        </w:rPr>
        <w:t>・</w:t>
      </w:r>
      <w:r w:rsidR="00182C1E">
        <w:rPr>
          <w:rFonts w:hint="eastAsia"/>
        </w:rPr>
        <w:t>生活習慣病管理料（Ⅰ）と同一算定日の</w:t>
      </w:r>
      <w:r>
        <w:rPr>
          <w:rFonts w:hint="eastAsia"/>
        </w:rPr>
        <w:t>外来管理加算</w:t>
      </w:r>
    </w:p>
    <w:p w14:paraId="256E5FCB" w14:textId="64C2F6F0" w:rsidR="00182C1E" w:rsidRDefault="00182C1E" w:rsidP="00985CAD">
      <w:pPr>
        <w:ind w:left="210" w:hangingChars="100" w:hanging="210"/>
        <w:rPr>
          <w:rFonts w:hint="eastAsia"/>
        </w:rPr>
      </w:pPr>
      <w:r>
        <w:rPr>
          <w:rFonts w:hint="eastAsia"/>
        </w:rPr>
        <w:t xml:space="preserve">　※包括される外来管理加算は１回のみである。</w:t>
      </w:r>
    </w:p>
    <w:p w14:paraId="0A87787D" w14:textId="464F6511" w:rsidR="00AE0572" w:rsidRDefault="00AE0572" w:rsidP="00985CAD">
      <w:pPr>
        <w:ind w:left="210" w:hangingChars="100" w:hanging="210"/>
      </w:pPr>
      <w:r>
        <w:rPr>
          <w:rFonts w:hint="eastAsia"/>
        </w:rPr>
        <w:t>・医学管理等：「医学管理」の区分、注射：「注射」の区分、検査等：「検査」「病理診断」の区分が包括対象となる。</w:t>
      </w:r>
    </w:p>
    <w:p w14:paraId="0AC0223B" w14:textId="5B5E0973" w:rsidR="00F02740" w:rsidRDefault="00F02740" w:rsidP="00985CAD">
      <w:pPr>
        <w:ind w:left="210" w:hangingChars="100" w:hanging="210"/>
      </w:pPr>
      <w:r>
        <w:rPr>
          <w:rFonts w:hint="eastAsia"/>
        </w:rPr>
        <w:t>・「医学管理」の区分のう</w:t>
      </w:r>
      <w:r w:rsidRPr="00182C1E">
        <w:rPr>
          <w:rFonts w:hint="eastAsia"/>
        </w:rPr>
        <w:t>ち、包括除外</w:t>
      </w:r>
      <w:r w:rsidR="008E6EB7" w:rsidRPr="00182C1E">
        <w:rPr>
          <w:rFonts w:hint="eastAsia"/>
        </w:rPr>
        <w:t>１</w:t>
      </w:r>
      <w:r w:rsidRPr="00182C1E">
        <w:rPr>
          <w:rFonts w:hint="eastAsia"/>
        </w:rPr>
        <w:t>.</w:t>
      </w:r>
      <w:r w:rsidRPr="00182C1E">
        <w:t>csv</w:t>
      </w:r>
      <w:r>
        <w:rPr>
          <w:rFonts w:hint="eastAsia"/>
        </w:rPr>
        <w:t>は包括対象から除く。</w:t>
      </w:r>
    </w:p>
    <w:p w14:paraId="7ADDBF5A" w14:textId="02165B80" w:rsidR="00AE0572" w:rsidRDefault="00AE0572" w:rsidP="00985CAD">
      <w:pPr>
        <w:ind w:left="210" w:hangingChars="100" w:hanging="210"/>
      </w:pPr>
    </w:p>
    <w:p w14:paraId="46C5B8E8" w14:textId="77777777" w:rsidR="00182C1E" w:rsidRDefault="00182C1E">
      <w:pPr>
        <w:widowControl/>
        <w:jc w:val="left"/>
        <w:rPr>
          <w:rFonts w:ascii="ＭＳ ゴシック" w:eastAsia="ＭＳ ゴシック" w:hAnsi="ＭＳ ゴシック"/>
        </w:rPr>
      </w:pPr>
      <w:r>
        <w:rPr>
          <w:rFonts w:ascii="ＭＳ ゴシック" w:eastAsia="ＭＳ ゴシック" w:hAnsi="ＭＳ ゴシック"/>
        </w:rPr>
        <w:br w:type="page"/>
      </w:r>
    </w:p>
    <w:p w14:paraId="79C8B7AD" w14:textId="7EBA290C" w:rsidR="00F02740" w:rsidRPr="00DE13BD" w:rsidRDefault="00F02740" w:rsidP="00F02740">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生活習慣病管理料（Ⅱ）の</w:t>
      </w:r>
      <w:r w:rsidRPr="00DE13BD">
        <w:rPr>
          <w:rFonts w:ascii="ＭＳ ゴシック" w:eastAsia="ＭＳ ゴシック" w:hAnsi="ＭＳ ゴシック" w:hint="eastAsia"/>
        </w:rPr>
        <w:t>包括対象</w:t>
      </w:r>
    </w:p>
    <w:p w14:paraId="243B6CFF" w14:textId="1D9A1D44" w:rsidR="00F02740" w:rsidRDefault="00F02740" w:rsidP="00F02740">
      <w:pPr>
        <w:ind w:left="210" w:hangingChars="100" w:hanging="210"/>
      </w:pPr>
      <w:r>
        <w:rPr>
          <w:rFonts w:hint="eastAsia"/>
        </w:rPr>
        <w:t>・</w:t>
      </w:r>
      <w:r w:rsidR="00182C1E">
        <w:rPr>
          <w:rFonts w:hint="eastAsia"/>
        </w:rPr>
        <w:t>生活習慣病管理料（</w:t>
      </w:r>
      <w:r w:rsidR="00182C1E">
        <w:rPr>
          <w:rFonts w:hint="eastAsia"/>
        </w:rPr>
        <w:t>Ⅱ</w:t>
      </w:r>
      <w:r w:rsidR="00182C1E">
        <w:rPr>
          <w:rFonts w:hint="eastAsia"/>
        </w:rPr>
        <w:t>）と同一算定日の外来管理加算</w:t>
      </w:r>
    </w:p>
    <w:p w14:paraId="2A17F351" w14:textId="6E744CFB" w:rsidR="00182C1E" w:rsidRPr="00182C1E" w:rsidRDefault="00182C1E" w:rsidP="00182C1E">
      <w:pPr>
        <w:ind w:left="210" w:hangingChars="100" w:hanging="210"/>
        <w:rPr>
          <w:rFonts w:hint="eastAsia"/>
        </w:rPr>
      </w:pPr>
      <w:r>
        <w:rPr>
          <w:rFonts w:hint="eastAsia"/>
        </w:rPr>
        <w:t xml:space="preserve">　※包括される外来管理加算は１回のみである。</w:t>
      </w:r>
    </w:p>
    <w:p w14:paraId="4C7F43C0" w14:textId="26E9CE8F" w:rsidR="000138DE" w:rsidRDefault="00F02740" w:rsidP="009B66E7">
      <w:pPr>
        <w:ind w:left="210" w:hangingChars="100" w:hanging="210"/>
      </w:pPr>
      <w:r>
        <w:rPr>
          <w:rFonts w:hint="eastAsia"/>
        </w:rPr>
        <w:t>・医学管理等：「医学管理」の区分</w:t>
      </w:r>
    </w:p>
    <w:p w14:paraId="16D143F0" w14:textId="496F438D" w:rsidR="00F02740" w:rsidRDefault="00F02740" w:rsidP="00F02740">
      <w:pPr>
        <w:ind w:left="210" w:hangingChars="100" w:hanging="210"/>
      </w:pPr>
      <w:r>
        <w:rPr>
          <w:rFonts w:hint="eastAsia"/>
        </w:rPr>
        <w:t>が包括対象となる。</w:t>
      </w:r>
    </w:p>
    <w:p w14:paraId="46409961" w14:textId="5C8BB017" w:rsidR="009B66E7" w:rsidRDefault="00F02740" w:rsidP="00182C1E">
      <w:pPr>
        <w:ind w:left="210" w:hangingChars="100" w:hanging="210"/>
      </w:pPr>
      <w:r>
        <w:rPr>
          <w:rFonts w:hint="eastAsia"/>
        </w:rPr>
        <w:t>・「医学管理」の区分のうち、</w:t>
      </w:r>
      <w:r w:rsidRPr="00182C1E">
        <w:rPr>
          <w:rFonts w:hint="eastAsia"/>
        </w:rPr>
        <w:t>包括除外</w:t>
      </w:r>
      <w:r w:rsidR="008E6EB7" w:rsidRPr="00182C1E">
        <w:rPr>
          <w:rFonts w:hint="eastAsia"/>
        </w:rPr>
        <w:t>２</w:t>
      </w:r>
      <w:r w:rsidRPr="00182C1E">
        <w:rPr>
          <w:rFonts w:hint="eastAsia"/>
        </w:rPr>
        <w:t>.</w:t>
      </w:r>
      <w:r w:rsidRPr="00182C1E">
        <w:t>csv</w:t>
      </w:r>
      <w:r>
        <w:rPr>
          <w:rFonts w:hint="eastAsia"/>
        </w:rPr>
        <w:t>は包括対象から除く。</w:t>
      </w:r>
    </w:p>
    <w:p w14:paraId="7909F79F" w14:textId="77777777" w:rsidR="00182C1E" w:rsidRDefault="00182C1E" w:rsidP="00182C1E">
      <w:pPr>
        <w:ind w:left="210" w:hangingChars="100" w:hanging="210"/>
        <w:rPr>
          <w:rFonts w:ascii="ＭＳ ゴシック" w:eastAsia="ＭＳ ゴシック" w:hAnsi="ＭＳ ゴシック" w:hint="eastAsia"/>
        </w:rPr>
      </w:pPr>
    </w:p>
    <w:p w14:paraId="2EC0E01E" w14:textId="7D552385" w:rsidR="00814EAD" w:rsidRPr="00DE13BD" w:rsidRDefault="00814EAD" w:rsidP="00985CAD">
      <w:pPr>
        <w:ind w:left="210" w:hangingChars="100" w:hanging="210"/>
        <w:rPr>
          <w:rFonts w:ascii="ＭＳ ゴシック" w:eastAsia="ＭＳ ゴシック" w:hAnsi="ＭＳ ゴシック"/>
        </w:rPr>
      </w:pPr>
      <w:r w:rsidRPr="00DE13BD">
        <w:rPr>
          <w:rFonts w:ascii="ＭＳ ゴシック" w:eastAsia="ＭＳ ゴシック" w:hAnsi="ＭＳ ゴシック" w:hint="eastAsia"/>
        </w:rPr>
        <w:t>シミュレーションの計算式</w:t>
      </w:r>
    </w:p>
    <w:p w14:paraId="6AB162B4" w14:textId="21A66107" w:rsidR="004E119A" w:rsidRDefault="001F2C5D" w:rsidP="00985CAD">
      <w:pPr>
        <w:ind w:left="210" w:hangingChars="100" w:hanging="210"/>
      </w:pPr>
      <w:r w:rsidRPr="001F2C5D">
        <w:rPr>
          <w:rFonts w:hint="eastAsia"/>
        </w:rPr>
        <w:t>計算式画面レイアウト</w:t>
      </w:r>
      <w:r w:rsidR="004E119A">
        <w:rPr>
          <w:rFonts w:hint="eastAsia"/>
        </w:rPr>
        <w:t>.xlsxの計算式参照</w:t>
      </w:r>
    </w:p>
    <w:p w14:paraId="5BA7F05B" w14:textId="6DFCEC1E" w:rsidR="001345DE" w:rsidRDefault="001345DE" w:rsidP="00985CAD">
      <w:pPr>
        <w:ind w:left="210" w:hangingChars="100" w:hanging="210"/>
      </w:pPr>
    </w:p>
    <w:p w14:paraId="1621F653" w14:textId="35A2430C" w:rsidR="00D70F5F" w:rsidRDefault="00D70F5F" w:rsidP="00D70F5F">
      <w:pPr>
        <w:ind w:left="210" w:hangingChars="100" w:hanging="210"/>
      </w:pPr>
      <w:r>
        <w:rPr>
          <w:rFonts w:hint="eastAsia"/>
        </w:rPr>
        <w:t>現在が生活習慣病管理料のレセプト：</w:t>
      </w:r>
    </w:p>
    <w:p w14:paraId="2F0B0945" w14:textId="476A5F5E" w:rsidR="00D70F5F" w:rsidRDefault="00D70F5F" w:rsidP="00985CAD">
      <w:pPr>
        <w:ind w:left="210" w:hangingChars="100" w:hanging="210"/>
      </w:pPr>
      <w:r>
        <w:rPr>
          <w:rFonts w:hint="eastAsia"/>
        </w:rPr>
        <w:t>変更後点数＝現在点数－生活習慣病管理料＋生活習慣病管理料（Ⅰ）－生活習慣病管理料（Ⅰ）の包括点数（＝外来管理加算）－特処（特定疾患処方管理加算）点数</w:t>
      </w:r>
    </w:p>
    <w:p w14:paraId="6E0C11DE" w14:textId="3CED2A52" w:rsidR="00D70F5F" w:rsidRDefault="00D70F5F" w:rsidP="00985CAD">
      <w:pPr>
        <w:ind w:left="210" w:hangingChars="100" w:hanging="210"/>
      </w:pPr>
      <w:r>
        <w:rPr>
          <w:rFonts w:hint="eastAsia"/>
        </w:rPr>
        <w:t>※生活習慣病管理料（Ⅰ）では生活習慣病管理料の包括範囲に加えて外来管理加算が包括される。</w:t>
      </w:r>
    </w:p>
    <w:p w14:paraId="7CEBED1B" w14:textId="77777777" w:rsidR="00D70F5F" w:rsidRDefault="00D70F5F" w:rsidP="00985CAD">
      <w:pPr>
        <w:ind w:left="210" w:hangingChars="100" w:hanging="210"/>
      </w:pPr>
    </w:p>
    <w:p w14:paraId="0EF1CDC4" w14:textId="02B7428C" w:rsidR="00D70F5F" w:rsidRDefault="00D70F5F" w:rsidP="00985CAD">
      <w:pPr>
        <w:ind w:left="210" w:hangingChars="100" w:hanging="210"/>
      </w:pPr>
      <w:r>
        <w:rPr>
          <w:rFonts w:hint="eastAsia"/>
        </w:rPr>
        <w:t>現在が特定疾患療養管理料のレセプト：</w:t>
      </w:r>
    </w:p>
    <w:p w14:paraId="7002C842" w14:textId="2B1CC5B2" w:rsidR="00D70F5F" w:rsidRDefault="00D70F5F" w:rsidP="00D70F5F">
      <w:pPr>
        <w:ind w:left="210" w:hangingChars="100" w:hanging="210"/>
      </w:pPr>
      <w:r>
        <w:rPr>
          <w:rFonts w:hint="eastAsia"/>
        </w:rPr>
        <w:t>変更後点数＝現在点数－特定疾患療養管理料＋生活習慣病管理料（Ⅰ）（Ⅱ）－各々の包括点数－特処（特定疾患処方管理加算）点数</w:t>
      </w:r>
    </w:p>
    <w:p w14:paraId="1F205B71" w14:textId="77777777" w:rsidR="00D70F5F" w:rsidRDefault="00D70F5F" w:rsidP="00985CAD">
      <w:pPr>
        <w:ind w:left="210" w:hangingChars="100" w:hanging="210"/>
      </w:pPr>
    </w:p>
    <w:p w14:paraId="6659DBDA" w14:textId="18C4A790" w:rsidR="00577AAB" w:rsidRPr="00DE13BD" w:rsidRDefault="00577AAB" w:rsidP="00577AAB">
      <w:pPr>
        <w:ind w:left="210" w:hangingChars="100" w:hanging="210"/>
        <w:rPr>
          <w:rFonts w:ascii="ＭＳ ゴシック" w:eastAsia="ＭＳ ゴシック" w:hAnsi="ＭＳ ゴシック"/>
        </w:rPr>
      </w:pPr>
      <w:r>
        <w:rPr>
          <w:rFonts w:ascii="ＭＳ ゴシック" w:eastAsia="ＭＳ ゴシック" w:hAnsi="ＭＳ ゴシック" w:hint="eastAsia"/>
        </w:rPr>
        <w:t>外来データ提出加算</w:t>
      </w:r>
    </w:p>
    <w:p w14:paraId="2984CA83" w14:textId="4D269515" w:rsidR="00577AAB" w:rsidRDefault="00577AAB" w:rsidP="00577AAB">
      <w:pPr>
        <w:ind w:left="210" w:hangingChars="100" w:hanging="210"/>
      </w:pPr>
      <w:r>
        <w:rPr>
          <w:rFonts w:hint="eastAsia"/>
        </w:rPr>
        <w:t>□外来データ提出加算にチェックが入った場合は対象れレプトに50点を加算する。</w:t>
      </w:r>
    </w:p>
    <w:p w14:paraId="1B8B3EF5" w14:textId="77777777" w:rsidR="00577AAB" w:rsidRDefault="00577AAB" w:rsidP="00577AAB">
      <w:pPr>
        <w:ind w:left="210" w:hangingChars="100" w:hanging="210"/>
      </w:pPr>
    </w:p>
    <w:p w14:paraId="5D11585A" w14:textId="7B387701" w:rsidR="001F2C5D" w:rsidRPr="00DE13BD" w:rsidRDefault="001F2C5D" w:rsidP="001F2C5D">
      <w:pPr>
        <w:ind w:left="210" w:hangingChars="100" w:hanging="210"/>
        <w:rPr>
          <w:rFonts w:ascii="ＭＳ ゴシック" w:eastAsia="ＭＳ ゴシック" w:hAnsi="ＭＳ ゴシック"/>
        </w:rPr>
      </w:pPr>
      <w:r>
        <w:rPr>
          <w:rFonts w:ascii="ＭＳ ゴシック" w:eastAsia="ＭＳ ゴシック" w:hAnsi="ＭＳ ゴシック" w:hint="eastAsia"/>
        </w:rPr>
        <w:t>画面レイアウト</w:t>
      </w:r>
    </w:p>
    <w:p w14:paraId="7F8644FB" w14:textId="38241734" w:rsidR="001F2C5D" w:rsidRDefault="001F2C5D" w:rsidP="001F2C5D">
      <w:pPr>
        <w:ind w:left="210" w:hangingChars="100" w:hanging="210"/>
      </w:pPr>
      <w:r>
        <w:rPr>
          <w:rFonts w:hint="eastAsia"/>
        </w:rPr>
        <w:t>生活習慣病管理料（Ⅰ）：現在の点数を生活習慣病管理料（Ⅰ）に置き換えた場合のレイアウト。</w:t>
      </w:r>
    </w:p>
    <w:p w14:paraId="4D15EAB2" w14:textId="07D59451" w:rsidR="001F2C5D" w:rsidRDefault="001F2C5D" w:rsidP="001F2C5D">
      <w:pPr>
        <w:ind w:left="210" w:hangingChars="100" w:hanging="210"/>
      </w:pPr>
      <w:r>
        <w:rPr>
          <w:rFonts w:hint="eastAsia"/>
        </w:rPr>
        <w:t>生活習慣病管理料（Ⅱ）：現在の点数を生活習慣病管理料（Ⅱ）に置き換えた場合のレイアウト。</w:t>
      </w:r>
    </w:p>
    <w:p w14:paraId="2ECF4A7E" w14:textId="1BE8DB53" w:rsidR="001F2C5D" w:rsidRDefault="001F2C5D" w:rsidP="001F2C5D">
      <w:pPr>
        <w:ind w:left="210" w:hangingChars="100" w:hanging="210"/>
      </w:pPr>
      <w:r>
        <w:rPr>
          <w:rFonts w:hint="eastAsia"/>
        </w:rPr>
        <w:t>プラス優先：生活習慣病管理料（Ⅰ）と生活習慣病管理料（Ⅱ）と点数の高いほうに置き換えた場合のレイアウト。</w:t>
      </w:r>
    </w:p>
    <w:p w14:paraId="3BB9EE1E" w14:textId="39B309A3" w:rsidR="001F2C5D" w:rsidRDefault="001F2C5D" w:rsidP="001F2C5D">
      <w:pPr>
        <w:ind w:left="210" w:hangingChars="100" w:hanging="210"/>
      </w:pPr>
      <w:r>
        <w:rPr>
          <w:rFonts w:hint="eastAsia"/>
        </w:rPr>
        <w:t>縦覧（Ⅰ）：生活習慣病管理料（Ⅰ）に置き換えた場合の縦覧レイアウト。</w:t>
      </w:r>
    </w:p>
    <w:p w14:paraId="662C0CCD" w14:textId="4D90098B" w:rsidR="001F2C5D" w:rsidRDefault="001F2C5D" w:rsidP="001F2C5D">
      <w:pPr>
        <w:ind w:left="210" w:hangingChars="100" w:hanging="210"/>
      </w:pPr>
      <w:r>
        <w:rPr>
          <w:rFonts w:hint="eastAsia"/>
        </w:rPr>
        <w:t>縦覧（Ⅱ）：生活習慣病管理料（Ⅱ）に置き換えた場合の縦覧レイアウト。</w:t>
      </w:r>
    </w:p>
    <w:p w14:paraId="69C37D77" w14:textId="1A23785E" w:rsidR="001F2C5D" w:rsidRPr="001F2C5D" w:rsidRDefault="001F2C5D" w:rsidP="001F2C5D">
      <w:pPr>
        <w:ind w:left="210" w:hangingChars="100" w:hanging="210"/>
      </w:pPr>
      <w:r>
        <w:rPr>
          <w:rFonts w:hint="eastAsia"/>
        </w:rPr>
        <w:t>プラス優先のレイアウトの［縦覧］をクリックした場合は、優先が生活習慣病管理料（Ⅰ）ならば縦覧（Ⅰ）のレイアウトで表示。優先が生活習慣病管理料（Ⅱ）ならば縦覧（Ⅱ）のレイアウトで表示する。</w:t>
      </w:r>
    </w:p>
    <w:sectPr w:rsidR="001F2C5D" w:rsidRPr="001F2C5D">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DC767" w14:textId="77777777" w:rsidR="00E66029" w:rsidRDefault="00E66029" w:rsidP="00E66029">
      <w:r>
        <w:separator/>
      </w:r>
    </w:p>
  </w:endnote>
  <w:endnote w:type="continuationSeparator" w:id="0">
    <w:p w14:paraId="640A0DFE" w14:textId="77777777" w:rsidR="00E66029" w:rsidRDefault="00E66029" w:rsidP="00E6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69652"/>
      <w:docPartObj>
        <w:docPartGallery w:val="Page Numbers (Bottom of Page)"/>
        <w:docPartUnique/>
      </w:docPartObj>
    </w:sdtPr>
    <w:sdtEndPr/>
    <w:sdtContent>
      <w:p w14:paraId="1E7676F9" w14:textId="57102FE7" w:rsidR="008471E7" w:rsidRDefault="008471E7">
        <w:pPr>
          <w:pStyle w:val="a5"/>
          <w:jc w:val="center"/>
        </w:pPr>
        <w:r>
          <w:fldChar w:fldCharType="begin"/>
        </w:r>
        <w:r>
          <w:instrText>PAGE   \* MERGEFORMAT</w:instrText>
        </w:r>
        <w:r>
          <w:fldChar w:fldCharType="separate"/>
        </w:r>
        <w:r>
          <w:rPr>
            <w:lang w:val="ja-JP"/>
          </w:rPr>
          <w:t>2</w:t>
        </w:r>
        <w:r>
          <w:fldChar w:fldCharType="end"/>
        </w:r>
      </w:p>
    </w:sdtContent>
  </w:sdt>
  <w:p w14:paraId="6D5F9CE3" w14:textId="77777777" w:rsidR="008471E7" w:rsidRDefault="008471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636D6" w14:textId="77777777" w:rsidR="00E66029" w:rsidRDefault="00E66029" w:rsidP="00E66029">
      <w:r>
        <w:separator/>
      </w:r>
    </w:p>
  </w:footnote>
  <w:footnote w:type="continuationSeparator" w:id="0">
    <w:p w14:paraId="5D4A317B" w14:textId="77777777" w:rsidR="00E66029" w:rsidRDefault="00E66029" w:rsidP="00E6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8648" w14:textId="232448B2" w:rsidR="008471E7" w:rsidRDefault="00BE5E51" w:rsidP="008471E7">
    <w:pPr>
      <w:pStyle w:val="a3"/>
      <w:jc w:val="right"/>
    </w:pPr>
    <w:r>
      <w:fldChar w:fldCharType="begin"/>
    </w:r>
    <w:r>
      <w:instrText xml:space="preserve"> FILENAME \* MERGEFORMAT </w:instrText>
    </w:r>
    <w:r>
      <w:fldChar w:fldCharType="separate"/>
    </w:r>
    <w:r w:rsidR="00FE47C2">
      <w:rPr>
        <w:noProof/>
      </w:rPr>
      <w:t>生活習慣病管理料置換えシミュレーション仕様書</w:t>
    </w:r>
    <w:r>
      <w:rPr>
        <w:noProof/>
      </w:rPr>
      <w:fldChar w:fldCharType="end"/>
    </w:r>
  </w:p>
  <w:p w14:paraId="22878A0B" w14:textId="77777777" w:rsidR="008471E7" w:rsidRDefault="008471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D2"/>
    <w:rsid w:val="000138DE"/>
    <w:rsid w:val="000436B1"/>
    <w:rsid w:val="00057552"/>
    <w:rsid w:val="000E1BD7"/>
    <w:rsid w:val="001337C7"/>
    <w:rsid w:val="001345DE"/>
    <w:rsid w:val="00182C1E"/>
    <w:rsid w:val="001F24FA"/>
    <w:rsid w:val="001F2C5D"/>
    <w:rsid w:val="00215F62"/>
    <w:rsid w:val="0022279D"/>
    <w:rsid w:val="002C1D94"/>
    <w:rsid w:val="002C7DF1"/>
    <w:rsid w:val="00333323"/>
    <w:rsid w:val="00423306"/>
    <w:rsid w:val="00447E78"/>
    <w:rsid w:val="0049117C"/>
    <w:rsid w:val="004C55D2"/>
    <w:rsid w:val="004D2952"/>
    <w:rsid w:val="004E119A"/>
    <w:rsid w:val="004F2C36"/>
    <w:rsid w:val="00574A44"/>
    <w:rsid w:val="00577AAB"/>
    <w:rsid w:val="0060187B"/>
    <w:rsid w:val="00605140"/>
    <w:rsid w:val="007510DE"/>
    <w:rsid w:val="00814EAD"/>
    <w:rsid w:val="008471E7"/>
    <w:rsid w:val="00863384"/>
    <w:rsid w:val="008B4B82"/>
    <w:rsid w:val="008E6EB7"/>
    <w:rsid w:val="00945914"/>
    <w:rsid w:val="00946768"/>
    <w:rsid w:val="00985CAD"/>
    <w:rsid w:val="009A7954"/>
    <w:rsid w:val="009B2521"/>
    <w:rsid w:val="009B66E7"/>
    <w:rsid w:val="00A1117C"/>
    <w:rsid w:val="00AE0572"/>
    <w:rsid w:val="00B62147"/>
    <w:rsid w:val="00BE5E51"/>
    <w:rsid w:val="00BF7C72"/>
    <w:rsid w:val="00D12240"/>
    <w:rsid w:val="00D336D8"/>
    <w:rsid w:val="00D70F5F"/>
    <w:rsid w:val="00DC7415"/>
    <w:rsid w:val="00DD75D2"/>
    <w:rsid w:val="00DE13BD"/>
    <w:rsid w:val="00E66029"/>
    <w:rsid w:val="00EF011B"/>
    <w:rsid w:val="00F02740"/>
    <w:rsid w:val="00F72028"/>
    <w:rsid w:val="00FE0D95"/>
    <w:rsid w:val="00FE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F4ADFF"/>
  <w15:docId w15:val="{8D5F5634-A452-46A3-B878-A65C9CE9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029"/>
    <w:pPr>
      <w:tabs>
        <w:tab w:val="center" w:pos="4252"/>
        <w:tab w:val="right" w:pos="8504"/>
      </w:tabs>
      <w:snapToGrid w:val="0"/>
    </w:pPr>
  </w:style>
  <w:style w:type="character" w:customStyle="1" w:styleId="a4">
    <w:name w:val="ヘッダー (文字)"/>
    <w:basedOn w:val="a0"/>
    <w:link w:val="a3"/>
    <w:uiPriority w:val="99"/>
    <w:rsid w:val="00E66029"/>
  </w:style>
  <w:style w:type="paragraph" w:styleId="a5">
    <w:name w:val="footer"/>
    <w:basedOn w:val="a"/>
    <w:link w:val="a6"/>
    <w:uiPriority w:val="99"/>
    <w:unhideWhenUsed/>
    <w:rsid w:val="00E66029"/>
    <w:pPr>
      <w:tabs>
        <w:tab w:val="center" w:pos="4252"/>
        <w:tab w:val="right" w:pos="8504"/>
      </w:tabs>
      <w:snapToGrid w:val="0"/>
    </w:pPr>
  </w:style>
  <w:style w:type="character" w:customStyle="1" w:styleId="a6">
    <w:name w:val="フッター (文字)"/>
    <w:basedOn w:val="a0"/>
    <w:link w:val="a5"/>
    <w:uiPriority w:val="99"/>
    <w:rsid w:val="00E6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65530">
      <w:bodyDiv w:val="1"/>
      <w:marLeft w:val="0"/>
      <w:marRight w:val="0"/>
      <w:marTop w:val="0"/>
      <w:marBottom w:val="0"/>
      <w:divBdr>
        <w:top w:val="none" w:sz="0" w:space="0" w:color="auto"/>
        <w:left w:val="none" w:sz="0" w:space="0" w:color="auto"/>
        <w:bottom w:val="none" w:sz="0" w:space="0" w:color="auto"/>
        <w:right w:val="none" w:sz="0" w:space="0" w:color="auto"/>
      </w:divBdr>
    </w:div>
    <w:div w:id="364840873">
      <w:bodyDiv w:val="1"/>
      <w:marLeft w:val="0"/>
      <w:marRight w:val="0"/>
      <w:marTop w:val="0"/>
      <w:marBottom w:val="0"/>
      <w:divBdr>
        <w:top w:val="none" w:sz="0" w:space="0" w:color="auto"/>
        <w:left w:val="none" w:sz="0" w:space="0" w:color="auto"/>
        <w:bottom w:val="none" w:sz="0" w:space="0" w:color="auto"/>
        <w:right w:val="none" w:sz="0" w:space="0" w:color="auto"/>
      </w:divBdr>
    </w:div>
    <w:div w:id="401222205">
      <w:bodyDiv w:val="1"/>
      <w:marLeft w:val="0"/>
      <w:marRight w:val="0"/>
      <w:marTop w:val="0"/>
      <w:marBottom w:val="0"/>
      <w:divBdr>
        <w:top w:val="none" w:sz="0" w:space="0" w:color="auto"/>
        <w:left w:val="none" w:sz="0" w:space="0" w:color="auto"/>
        <w:bottom w:val="none" w:sz="0" w:space="0" w:color="auto"/>
        <w:right w:val="none" w:sz="0" w:space="0" w:color="auto"/>
      </w:divBdr>
    </w:div>
    <w:div w:id="829834794">
      <w:bodyDiv w:val="1"/>
      <w:marLeft w:val="0"/>
      <w:marRight w:val="0"/>
      <w:marTop w:val="0"/>
      <w:marBottom w:val="0"/>
      <w:divBdr>
        <w:top w:val="none" w:sz="0" w:space="0" w:color="auto"/>
        <w:left w:val="none" w:sz="0" w:space="0" w:color="auto"/>
        <w:bottom w:val="none" w:sz="0" w:space="0" w:color="auto"/>
        <w:right w:val="none" w:sz="0" w:space="0" w:color="auto"/>
      </w:divBdr>
    </w:div>
    <w:div w:id="884877824">
      <w:bodyDiv w:val="1"/>
      <w:marLeft w:val="0"/>
      <w:marRight w:val="0"/>
      <w:marTop w:val="0"/>
      <w:marBottom w:val="0"/>
      <w:divBdr>
        <w:top w:val="none" w:sz="0" w:space="0" w:color="auto"/>
        <w:left w:val="none" w:sz="0" w:space="0" w:color="auto"/>
        <w:bottom w:val="none" w:sz="0" w:space="0" w:color="auto"/>
        <w:right w:val="none" w:sz="0" w:space="0" w:color="auto"/>
      </w:divBdr>
    </w:div>
    <w:div w:id="1131820404">
      <w:bodyDiv w:val="1"/>
      <w:marLeft w:val="0"/>
      <w:marRight w:val="0"/>
      <w:marTop w:val="0"/>
      <w:marBottom w:val="0"/>
      <w:divBdr>
        <w:top w:val="none" w:sz="0" w:space="0" w:color="auto"/>
        <w:left w:val="none" w:sz="0" w:space="0" w:color="auto"/>
        <w:bottom w:val="none" w:sz="0" w:space="0" w:color="auto"/>
        <w:right w:val="none" w:sz="0" w:space="0" w:color="auto"/>
      </w:divBdr>
    </w:div>
    <w:div w:id="1179002954">
      <w:bodyDiv w:val="1"/>
      <w:marLeft w:val="0"/>
      <w:marRight w:val="0"/>
      <w:marTop w:val="0"/>
      <w:marBottom w:val="0"/>
      <w:divBdr>
        <w:top w:val="none" w:sz="0" w:space="0" w:color="auto"/>
        <w:left w:val="none" w:sz="0" w:space="0" w:color="auto"/>
        <w:bottom w:val="none" w:sz="0" w:space="0" w:color="auto"/>
        <w:right w:val="none" w:sz="0" w:space="0" w:color="auto"/>
      </w:divBdr>
    </w:div>
    <w:div w:id="1609310623">
      <w:bodyDiv w:val="1"/>
      <w:marLeft w:val="0"/>
      <w:marRight w:val="0"/>
      <w:marTop w:val="0"/>
      <w:marBottom w:val="0"/>
      <w:divBdr>
        <w:top w:val="none" w:sz="0" w:space="0" w:color="auto"/>
        <w:left w:val="none" w:sz="0" w:space="0" w:color="auto"/>
        <w:bottom w:val="none" w:sz="0" w:space="0" w:color="auto"/>
        <w:right w:val="none" w:sz="0" w:space="0" w:color="auto"/>
      </w:divBdr>
    </w:div>
    <w:div w:id="1641380793">
      <w:bodyDiv w:val="1"/>
      <w:marLeft w:val="0"/>
      <w:marRight w:val="0"/>
      <w:marTop w:val="0"/>
      <w:marBottom w:val="0"/>
      <w:divBdr>
        <w:top w:val="none" w:sz="0" w:space="0" w:color="auto"/>
        <w:left w:val="none" w:sz="0" w:space="0" w:color="auto"/>
        <w:bottom w:val="none" w:sz="0" w:space="0" w:color="auto"/>
        <w:right w:val="none" w:sz="0" w:space="0" w:color="auto"/>
      </w:divBdr>
    </w:div>
    <w:div w:id="1826047453">
      <w:bodyDiv w:val="1"/>
      <w:marLeft w:val="0"/>
      <w:marRight w:val="0"/>
      <w:marTop w:val="0"/>
      <w:marBottom w:val="0"/>
      <w:divBdr>
        <w:top w:val="none" w:sz="0" w:space="0" w:color="auto"/>
        <w:left w:val="none" w:sz="0" w:space="0" w:color="auto"/>
        <w:bottom w:val="none" w:sz="0" w:space="0" w:color="auto"/>
        <w:right w:val="none" w:sz="0" w:space="0" w:color="auto"/>
      </w:divBdr>
    </w:div>
    <w:div w:id="202978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363</Words>
  <Characters>2070</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孝也</dc:creator>
  <cp:keywords/>
  <dc:description/>
  <cp:lastModifiedBy>孝也 本田</cp:lastModifiedBy>
  <cp:revision>2</cp:revision>
  <cp:lastPrinted>2022-03-20T13:53:00Z</cp:lastPrinted>
  <dcterms:created xsi:type="dcterms:W3CDTF">2024-05-06T10:46:00Z</dcterms:created>
  <dcterms:modified xsi:type="dcterms:W3CDTF">2024-05-06T10:46:00Z</dcterms:modified>
</cp:coreProperties>
</file>